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jc w:val="center"/>
        <w:textAlignment w:val="auto"/>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赣州市市场监督管理局关于</w:t>
      </w:r>
    </w:p>
    <w:p>
      <w:pPr>
        <w:keepNext w:val="0"/>
        <w:keepLines w:val="0"/>
        <w:pageBreakBefore w:val="0"/>
        <w:kinsoku/>
        <w:wordWrap/>
        <w:overflowPunct/>
        <w:topLinePunct w:val="0"/>
        <w:autoSpaceDE/>
        <w:autoSpaceDN/>
        <w:bidi w:val="0"/>
        <w:adjustRightInd/>
        <w:snapToGrid/>
        <w:spacing w:line="560" w:lineRule="exact"/>
        <w:jc w:val="center"/>
        <w:textAlignment w:val="auto"/>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不合格食品风险控制及核查处置情况的通告</w:t>
      </w: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000000" w:themeColor="text1"/>
          <w:sz w:val="32"/>
          <w:szCs w:val="32"/>
          <w14:textFill>
            <w14:solidFill>
              <w14:schemeClr w14:val="tx1"/>
            </w14:solidFill>
          </w14:textFill>
        </w:rPr>
      </w:pPr>
      <w:r>
        <w:rPr>
          <w:rFonts w:hint="eastAsia" w:ascii="方正小标宋简体" w:hAnsi="方正小标宋简体" w:eastAsia="方正小标宋简体" w:cs="方正小标宋简体"/>
          <w:color w:val="000000" w:themeColor="text1"/>
          <w:sz w:val="32"/>
          <w:szCs w:val="32"/>
          <w14:textFill>
            <w14:solidFill>
              <w14:schemeClr w14:val="tx1"/>
            </w14:solidFill>
          </w14:textFill>
        </w:rPr>
        <w:t>（202</w:t>
      </w:r>
      <w:r>
        <w:rPr>
          <w:rFonts w:hint="eastAsia" w:ascii="方正小标宋简体" w:hAnsi="方正小标宋简体" w:eastAsia="方正小标宋简体" w:cs="方正小标宋简体"/>
          <w:color w:val="000000" w:themeColor="text1"/>
          <w:sz w:val="32"/>
          <w:szCs w:val="32"/>
          <w:lang w:val="en-US" w:eastAsia="zh-CN"/>
          <w14:textFill>
            <w14:solidFill>
              <w14:schemeClr w14:val="tx1"/>
            </w14:solidFill>
          </w14:textFill>
        </w:rPr>
        <w:t>4</w:t>
      </w:r>
      <w:r>
        <w:rPr>
          <w:rFonts w:hint="eastAsia" w:ascii="方正小标宋简体" w:hAnsi="方正小标宋简体" w:eastAsia="方正小标宋简体" w:cs="方正小标宋简体"/>
          <w:color w:val="000000" w:themeColor="text1"/>
          <w:sz w:val="32"/>
          <w:szCs w:val="32"/>
          <w14:textFill>
            <w14:solidFill>
              <w14:schemeClr w14:val="tx1"/>
            </w14:solidFill>
          </w14:textFill>
        </w:rPr>
        <w:t>年第</w:t>
      </w:r>
      <w:r>
        <w:rPr>
          <w:rFonts w:hint="eastAsia" w:ascii="方正小标宋简体" w:hAnsi="方正小标宋简体" w:eastAsia="方正小标宋简体" w:cs="方正小标宋简体"/>
          <w:color w:val="000000" w:themeColor="text1"/>
          <w:sz w:val="32"/>
          <w:szCs w:val="32"/>
          <w:lang w:val="en-US" w:eastAsia="zh-CN"/>
          <w14:textFill>
            <w14:solidFill>
              <w14:schemeClr w14:val="tx1"/>
            </w14:solidFill>
          </w14:textFill>
        </w:rPr>
        <w:t>28</w:t>
      </w:r>
      <w:r>
        <w:rPr>
          <w:rFonts w:hint="eastAsia" w:ascii="方正小标宋简体" w:hAnsi="方正小标宋简体" w:eastAsia="方正小标宋简体" w:cs="方正小标宋简体"/>
          <w:color w:val="000000" w:themeColor="text1"/>
          <w:sz w:val="32"/>
          <w:szCs w:val="32"/>
          <w14:textFill>
            <w14:solidFill>
              <w14:schemeClr w14:val="tx1"/>
            </w14:solidFill>
          </w14:textFill>
        </w:rPr>
        <w:t>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val="0"/>
          <w:color w:val="000000" w:themeColor="text1"/>
          <w:sz w:val="32"/>
          <w:szCs w:val="32"/>
          <w:lang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zh-CN" w:eastAsia="zh-CN"/>
        </w:rPr>
        <w:t>在市场监督管理部门</w:t>
      </w:r>
      <w:r>
        <w:rPr>
          <w:rFonts w:hint="eastAsia" w:ascii="仿宋_GB2312" w:hAnsi="仿宋_GB2312" w:eastAsia="仿宋_GB2312" w:cs="仿宋_GB2312"/>
          <w:sz w:val="32"/>
          <w:szCs w:val="32"/>
          <w:lang w:val="zh-CN"/>
        </w:rPr>
        <w:t>组织开展的</w:t>
      </w:r>
      <w:r>
        <w:rPr>
          <w:rFonts w:hint="eastAsia" w:ascii="仿宋_GB2312" w:hAnsi="仿宋_GB2312" w:eastAsia="仿宋_GB2312" w:cs="仿宋_GB2312"/>
          <w:sz w:val="32"/>
          <w:szCs w:val="32"/>
          <w:lang w:val="zh-CN" w:eastAsia="zh-CN"/>
        </w:rPr>
        <w:t>食品</w:t>
      </w:r>
      <w:r>
        <w:rPr>
          <w:rFonts w:hint="eastAsia" w:ascii="仿宋_GB2312" w:hAnsi="仿宋_GB2312" w:eastAsia="仿宋_GB2312" w:cs="仿宋_GB2312"/>
          <w:sz w:val="32"/>
          <w:szCs w:val="32"/>
          <w:lang w:val="zh-CN"/>
        </w:rPr>
        <w:t>抽检中，涉及我市</w:t>
      </w:r>
      <w:r>
        <w:rPr>
          <w:rFonts w:hint="eastAsia" w:ascii="仿宋_GB2312" w:hAnsi="仿宋_GB2312" w:eastAsia="仿宋_GB2312" w:cs="仿宋_GB2312"/>
          <w:sz w:val="32"/>
          <w:szCs w:val="32"/>
          <w:lang w:val="en-US" w:eastAsia="zh-CN"/>
        </w:rPr>
        <w:t>的5批次不合格食品</w:t>
      </w:r>
      <w:r>
        <w:rPr>
          <w:rFonts w:hint="default" w:ascii="仿宋_GB2312" w:hAnsi="仿宋_GB2312" w:eastAsia="仿宋_GB2312" w:cs="仿宋_GB2312"/>
          <w:sz w:val="32"/>
          <w:szCs w:val="32"/>
          <w:lang w:val="en-US" w:eastAsia="zh-CN"/>
        </w:rPr>
        <w:t>已核查处置完成</w:t>
      </w:r>
      <w:r>
        <w:rPr>
          <w:rFonts w:hint="eastAsia" w:ascii="仿宋_GB2312" w:hAnsi="仿宋_GB2312" w:eastAsia="仿宋_GB2312" w:cs="仿宋_GB2312"/>
          <w:sz w:val="32"/>
          <w:szCs w:val="32"/>
          <w:lang w:val="zh-CN"/>
        </w:rPr>
        <w:t>，现将不合格风险控制和核查处置情况通告如下：</w:t>
      </w:r>
    </w:p>
    <w:p>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eastAsia" w:ascii="黑体" w:hAnsi="黑体" w:eastAsia="黑体" w:cs="黑体"/>
          <w:color w:val="333333"/>
          <w:kern w:val="0"/>
          <w:sz w:val="32"/>
          <w:szCs w:val="32"/>
          <w:shd w:val="clear" w:color="auto" w:fill="FFFFFF"/>
          <w:lang w:val="en-US" w:eastAsia="zh-CN" w:bidi="ar"/>
        </w:rPr>
      </w:pPr>
      <w:r>
        <w:rPr>
          <w:rFonts w:hint="eastAsia" w:ascii="黑体" w:hAnsi="黑体" w:eastAsia="黑体" w:cs="黑体"/>
          <w:color w:val="333333"/>
          <w:kern w:val="0"/>
          <w:sz w:val="32"/>
          <w:szCs w:val="32"/>
          <w:shd w:val="clear" w:color="auto" w:fill="FFFFFF"/>
          <w:lang w:val="en-US" w:eastAsia="zh-CN" w:bidi="ar"/>
        </w:rPr>
        <w:t>一、赣州经济技术开发区赣家兴便利店经营的炒花生和老姜</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（一）产品名称：炒花生及老姜；抽样日期：</w:t>
      </w:r>
      <w:r>
        <w:rPr>
          <w:rFonts w:hint="eastAsia" w:ascii="仿宋_GB2312" w:hAnsi="仿宋_GB2312" w:eastAsia="仿宋_GB2312" w:cs="仿宋_GB2312"/>
          <w:sz w:val="32"/>
          <w:szCs w:val="32"/>
          <w:lang w:val="en-US" w:eastAsia="zh-CN"/>
        </w:rPr>
        <w:t>2024年4月17日</w:t>
      </w:r>
      <w:r>
        <w:rPr>
          <w:rFonts w:hint="eastAsia" w:ascii="仿宋_GB2312" w:hAnsi="仿宋_GB2312" w:eastAsia="仿宋_GB2312" w:cs="仿宋_GB2312"/>
          <w:sz w:val="32"/>
          <w:szCs w:val="32"/>
          <w:lang w:val="zh-CN"/>
        </w:rPr>
        <w:t>；不合格项目：过氧化值及镉项目。</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（二）风险控制</w:t>
      </w:r>
    </w:p>
    <w:p>
      <w:pPr>
        <w:keepNext w:val="0"/>
        <w:keepLines w:val="0"/>
        <w:pageBreakBefore w:val="0"/>
        <w:widowControl/>
        <w:kinsoku/>
        <w:wordWrap/>
        <w:overflowPunct/>
        <w:topLinePunct w:val="0"/>
        <w:autoSpaceDE/>
        <w:autoSpaceDN/>
        <w:bidi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kern w:val="0"/>
          <w:sz w:val="32"/>
          <w:szCs w:val="32"/>
          <w:lang w:val="zh-CN" w:eastAsia="zh-CN" w:bidi="ar"/>
        </w:rPr>
      </w:pPr>
      <w:r>
        <w:rPr>
          <w:rFonts w:hint="eastAsia" w:ascii="仿宋_GB2312" w:hAnsi="仿宋_GB2312" w:eastAsia="仿宋_GB2312" w:cs="仿宋_GB2312"/>
          <w:kern w:val="0"/>
          <w:sz w:val="32"/>
          <w:szCs w:val="32"/>
          <w:lang w:val="zh-CN" w:eastAsia="zh-CN" w:bidi="ar"/>
        </w:rPr>
        <w:t>赣州市市场监督管理执法稽查局赣州经济技术开发区分局按规定时间送达检验结果通知书至</w:t>
      </w:r>
      <w:r>
        <w:rPr>
          <w:rFonts w:hint="eastAsia" w:ascii="仿宋_GB2312" w:hAnsi="仿宋_GB2312" w:eastAsia="仿宋_GB2312" w:cs="仿宋_GB2312"/>
          <w:kern w:val="0"/>
          <w:sz w:val="32"/>
          <w:szCs w:val="32"/>
          <w:lang w:val="en-US" w:eastAsia="zh-CN" w:bidi="ar"/>
        </w:rPr>
        <w:t>赣州经济技术开发区赣家兴便利店</w:t>
      </w:r>
      <w:r>
        <w:rPr>
          <w:rFonts w:hint="eastAsia" w:ascii="仿宋_GB2312" w:hAnsi="仿宋_GB2312" w:eastAsia="仿宋_GB2312" w:cs="仿宋_GB2312"/>
          <w:kern w:val="0"/>
          <w:sz w:val="32"/>
          <w:szCs w:val="32"/>
          <w:lang w:val="zh-CN" w:eastAsia="zh-CN" w:bidi="ar"/>
        </w:rPr>
        <w:t>，并责令其立即停止经营不合格批次的炒花生及老姜。</w:t>
      </w:r>
      <w:r>
        <w:rPr>
          <w:rFonts w:hint="eastAsia" w:ascii="仿宋_GB2312" w:hAnsi="仿宋_GB2312" w:eastAsia="仿宋_GB2312" w:cs="仿宋_GB2312"/>
          <w:kern w:val="0"/>
          <w:sz w:val="32"/>
          <w:szCs w:val="32"/>
          <w:lang w:val="en-US" w:eastAsia="zh-CN" w:bidi="ar"/>
        </w:rPr>
        <w:t>经核查，当事人共采购不合格炒花生共计30kg，采购不合格老姜56kg，均已全部销售完。</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（三）行政处罚</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赣州经济技术开发区赣家兴便利店经营重金属含量超过食品安全标准限量老姜的行为，违反了《食用农产品市场销售质量安全监督管理办法》第十五条第一款及《中华人民共和国食品安全法》第三十四条第（二）项的规定，依据《食用农产品市场销售质量安全监督管理办法》第四十二条及《中华人民共和国食品安全法》第一百二十四条第一款第（一）项的规定进行处罚，鉴于当事人采购涉案老姜时索取并保留了供货商的营业执照及进货票据，能够如实说明进货来源，表明其并不知晓该批次老姜重金属含量超过食品安全标准限量，对此违法行为免于行政处罚。</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赣州经济技术开发区赣家兴便利店经营不符合食品安全标准炒花生的行为，已违反了《中华人民共和国食品安全法》第三十四条第（十三）项的规定。依据《中华人民共和国食品安全法》第一百二十四条第二款的规定</w:t>
      </w:r>
      <w:r>
        <w:rPr>
          <w:rFonts w:hint="eastAsia" w:ascii="仿宋_GB2312" w:hAnsi="仿宋_GB2312" w:eastAsia="仿宋_GB2312" w:cs="仿宋_GB2312"/>
          <w:i w:val="0"/>
          <w:iCs w:val="0"/>
          <w:caps w:val="0"/>
          <w:color w:val="191919"/>
          <w:spacing w:val="0"/>
          <w:sz w:val="32"/>
          <w:szCs w:val="32"/>
          <w:shd w:val="clear" w:fill="FFFFFF"/>
          <w:lang w:eastAsia="zh-CN"/>
        </w:rPr>
        <w:t>，</w:t>
      </w:r>
      <w:r>
        <w:rPr>
          <w:rFonts w:hint="eastAsia" w:ascii="仿宋_GB2312" w:hAnsi="仿宋_GB2312" w:eastAsia="仿宋_GB2312" w:cs="仿宋_GB2312"/>
          <w:sz w:val="32"/>
          <w:szCs w:val="32"/>
          <w:lang w:val="en-US" w:eastAsia="zh-CN"/>
        </w:rPr>
        <w:t>决定对当事人的违法行为作出如下处罚（赣市市监稽经开处罚〔2024〕40号）：</w:t>
      </w:r>
    </w:p>
    <w:p>
      <w:pPr>
        <w:keepNext w:val="0"/>
        <w:keepLines w:val="0"/>
        <w:pageBreakBefore w:val="0"/>
        <w:widowControl w:val="0"/>
        <w:kinsoku/>
        <w:wordWrap/>
        <w:overflowPunct/>
        <w:topLinePunct w:val="0"/>
        <w:autoSpaceDE/>
        <w:autoSpaceDN/>
        <w:bidi w:val="0"/>
        <w:spacing w:line="560" w:lineRule="exact"/>
        <w:ind w:firstLine="616" w:firstLineChars="200"/>
        <w:jc w:val="both"/>
        <w:textAlignment w:val="auto"/>
        <w:rPr>
          <w:rFonts w:hint="eastAsia" w:ascii="仿宋_GB2312" w:hAnsi="仿宋_GB2312" w:eastAsia="仿宋_GB2312" w:cs="仿宋_GB2312"/>
          <w:bCs/>
          <w:color w:val="000000" w:themeColor="text1"/>
          <w:spacing w:val="-6"/>
          <w:sz w:val="32"/>
          <w:szCs w:val="32"/>
          <w:lang w:val="en-US" w:eastAsia="zh-CN"/>
          <w14:textFill>
            <w14:solidFill>
              <w14:schemeClr w14:val="tx1"/>
            </w14:solidFill>
          </w14:textFill>
        </w:rPr>
      </w:pPr>
      <w:r>
        <w:rPr>
          <w:rFonts w:hint="eastAsia" w:ascii="仿宋_GB2312" w:hAnsi="仿宋_GB2312" w:eastAsia="仿宋_GB2312" w:cs="仿宋_GB2312"/>
          <w:bCs/>
          <w:color w:val="000000" w:themeColor="text1"/>
          <w:spacing w:val="-6"/>
          <w:sz w:val="32"/>
          <w:szCs w:val="32"/>
          <w:lang w:val="en-US" w:eastAsia="zh-CN"/>
          <w14:textFill>
            <w14:solidFill>
              <w14:schemeClr w14:val="tx1"/>
            </w14:solidFill>
          </w14:textFill>
        </w:rPr>
        <w:t>1.对进货时未查验合格证明文件的行为给予警告；</w:t>
      </w:r>
    </w:p>
    <w:p>
      <w:pPr>
        <w:keepNext w:val="0"/>
        <w:keepLines w:val="0"/>
        <w:pageBreakBefore w:val="0"/>
        <w:widowControl w:val="0"/>
        <w:kinsoku/>
        <w:wordWrap/>
        <w:overflowPunct/>
        <w:topLinePunct w:val="0"/>
        <w:autoSpaceDE/>
        <w:autoSpaceDN/>
        <w:bidi w:val="0"/>
        <w:spacing w:line="560" w:lineRule="exact"/>
        <w:ind w:firstLine="616" w:firstLineChars="200"/>
        <w:jc w:val="both"/>
        <w:textAlignment w:val="auto"/>
        <w:rPr>
          <w:rFonts w:hint="eastAsia" w:ascii="仿宋_GB2312" w:hAnsi="仿宋_GB2312" w:eastAsia="仿宋_GB2312" w:cs="仿宋_GB2312"/>
          <w:bCs/>
          <w:color w:val="000000" w:themeColor="text1"/>
          <w:spacing w:val="-6"/>
          <w:sz w:val="32"/>
          <w:szCs w:val="32"/>
          <w:lang w:val="en-US" w:eastAsia="zh-CN"/>
          <w14:textFill>
            <w14:solidFill>
              <w14:schemeClr w14:val="tx1"/>
            </w14:solidFill>
          </w14:textFill>
        </w:rPr>
      </w:pPr>
      <w:r>
        <w:rPr>
          <w:rFonts w:hint="eastAsia" w:ascii="仿宋_GB2312" w:hAnsi="仿宋_GB2312" w:eastAsia="仿宋_GB2312" w:cs="仿宋_GB2312"/>
          <w:bCs/>
          <w:color w:val="000000" w:themeColor="text1"/>
          <w:spacing w:val="-6"/>
          <w:sz w:val="32"/>
          <w:szCs w:val="32"/>
          <w:lang w:val="en-US" w:eastAsia="zh-CN"/>
          <w14:textFill>
            <w14:solidFill>
              <w14:schemeClr w14:val="tx1"/>
            </w14:solidFill>
          </w14:textFill>
        </w:rPr>
        <w:t>2.没收违法所得202.47元；</w:t>
      </w:r>
    </w:p>
    <w:p>
      <w:pPr>
        <w:keepNext w:val="0"/>
        <w:keepLines w:val="0"/>
        <w:pageBreakBefore w:val="0"/>
        <w:widowControl w:val="0"/>
        <w:kinsoku/>
        <w:wordWrap/>
        <w:overflowPunct/>
        <w:topLinePunct w:val="0"/>
        <w:autoSpaceDE/>
        <w:autoSpaceDN/>
        <w:bidi w:val="0"/>
        <w:spacing w:line="560" w:lineRule="exact"/>
        <w:ind w:firstLine="616" w:firstLineChars="200"/>
        <w:jc w:val="both"/>
        <w:textAlignment w:val="auto"/>
        <w:rPr>
          <w:rFonts w:hint="eastAsia" w:ascii="仿宋_GB2312" w:hAnsi="仿宋_GB2312" w:eastAsia="仿宋_GB2312" w:cs="仿宋_GB2312"/>
          <w:bCs/>
          <w:color w:val="000000" w:themeColor="text1"/>
          <w:spacing w:val="-6"/>
          <w:sz w:val="32"/>
          <w:szCs w:val="32"/>
          <w:lang w:val="en-US" w:eastAsia="zh-CN"/>
          <w14:textFill>
            <w14:solidFill>
              <w14:schemeClr w14:val="tx1"/>
            </w14:solidFill>
          </w14:textFill>
        </w:rPr>
      </w:pPr>
      <w:r>
        <w:rPr>
          <w:rFonts w:hint="eastAsia" w:ascii="仿宋_GB2312" w:hAnsi="仿宋_GB2312" w:eastAsia="仿宋_GB2312" w:cs="仿宋_GB2312"/>
          <w:bCs/>
          <w:color w:val="000000" w:themeColor="text1"/>
          <w:spacing w:val="-6"/>
          <w:sz w:val="32"/>
          <w:szCs w:val="32"/>
          <w:lang w:val="en-US" w:eastAsia="zh-CN"/>
          <w14:textFill>
            <w14:solidFill>
              <w14:schemeClr w14:val="tx1"/>
            </w14:solidFill>
          </w14:textFill>
        </w:rPr>
        <w:t>3.没收扣押的不符合食品安全标准0.738kg炒花生；</w:t>
      </w:r>
    </w:p>
    <w:p>
      <w:pPr>
        <w:keepNext w:val="0"/>
        <w:keepLines w:val="0"/>
        <w:pageBreakBefore w:val="0"/>
        <w:widowControl w:val="0"/>
        <w:kinsoku/>
        <w:wordWrap/>
        <w:overflowPunct/>
        <w:topLinePunct w:val="0"/>
        <w:autoSpaceDE/>
        <w:autoSpaceDN/>
        <w:bidi w:val="0"/>
        <w:spacing w:line="560" w:lineRule="exact"/>
        <w:ind w:firstLine="616" w:firstLineChars="200"/>
        <w:jc w:val="both"/>
        <w:textAlignment w:val="auto"/>
        <w:rPr>
          <w:rFonts w:hint="eastAsia" w:ascii="仿宋_GB2312" w:hAnsi="仿宋_GB2312" w:eastAsia="仿宋_GB2312" w:cs="仿宋_GB2312"/>
          <w:bCs/>
          <w:color w:val="000000" w:themeColor="text1"/>
          <w:spacing w:val="-6"/>
          <w:sz w:val="32"/>
          <w:szCs w:val="32"/>
          <w:lang w:val="en-US" w:eastAsia="zh-CN"/>
          <w14:textFill>
            <w14:solidFill>
              <w14:schemeClr w14:val="tx1"/>
            </w14:solidFill>
          </w14:textFill>
        </w:rPr>
      </w:pPr>
      <w:r>
        <w:rPr>
          <w:rFonts w:hint="eastAsia" w:ascii="仿宋_GB2312" w:hAnsi="仿宋_GB2312" w:eastAsia="仿宋_GB2312" w:cs="仿宋_GB2312"/>
          <w:bCs/>
          <w:color w:val="000000" w:themeColor="text1"/>
          <w:spacing w:val="-6"/>
          <w:sz w:val="32"/>
          <w:szCs w:val="32"/>
          <w:lang w:val="en-US" w:eastAsia="zh-CN"/>
          <w14:textFill>
            <w14:solidFill>
              <w14:schemeClr w14:val="tx1"/>
            </w14:solidFill>
          </w14:textFill>
        </w:rPr>
        <w:t>4.罚款5000元，上缴国库。</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60" w:lineRule="exact"/>
        <w:ind w:left="0" w:right="0" w:rightChars="0" w:firstLine="640" w:firstLineChars="200"/>
        <w:jc w:val="both"/>
        <w:textAlignment w:val="auto"/>
        <w:rPr>
          <w:rFonts w:hint="default" w:ascii="黑体" w:hAnsi="黑体" w:eastAsia="黑体" w:cs="黑体"/>
          <w:color w:val="333333"/>
          <w:kern w:val="0"/>
          <w:sz w:val="32"/>
          <w:szCs w:val="32"/>
          <w:shd w:val="clear" w:color="auto" w:fill="FFFFFF"/>
          <w:lang w:val="en-US" w:eastAsia="zh-CN" w:bidi="ar"/>
        </w:rPr>
      </w:pPr>
      <w:r>
        <w:rPr>
          <w:rFonts w:hint="eastAsia" w:ascii="黑体" w:hAnsi="黑体" w:eastAsia="黑体" w:cs="黑体"/>
          <w:color w:val="333333"/>
          <w:kern w:val="0"/>
          <w:sz w:val="32"/>
          <w:szCs w:val="32"/>
          <w:shd w:val="clear" w:color="auto" w:fill="FFFFFF"/>
          <w:lang w:val="en-US" w:eastAsia="zh-CN" w:bidi="ar"/>
        </w:rPr>
        <w:t>二、南康区龙回镇鑫宜佳超市经营的芒果和山药</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（一）食品名称：芒果；购进日期：2024年3月26日；不合格项目：噻虫胺。</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1280" w:firstLineChars="4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食品名称：山药；购进日期：2024年</w:t>
      </w:r>
      <w:bookmarkStart w:id="0" w:name="_GoBack"/>
      <w:bookmarkEnd w:id="0"/>
      <w:r>
        <w:rPr>
          <w:rFonts w:hint="eastAsia" w:ascii="仿宋_GB2312" w:hAnsi="仿宋_GB2312" w:eastAsia="仿宋_GB2312" w:cs="仿宋_GB2312"/>
          <w:sz w:val="32"/>
          <w:szCs w:val="32"/>
          <w:lang w:val="en-US" w:eastAsia="zh-CN"/>
        </w:rPr>
        <w:t>3月23日；不合格项目：咪鲜胺和咪鲜胺锰盐。</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（二）风险控制</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赣州市场监督管理执法稽查局南康分局按规定时间送达检验结果通知书至南康区龙回镇鑫宜佳超市，并责令其立即停止经营不符合食品安全标准的芒果和山药。经核查，该超市采购经营的不合格批次芒果和山药分别为40公斤和10公斤，销售40公斤和10公斤，召回0公斤。</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（三）行政处罚</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当事人采购经营的芒果和山药未履行进货查验的行为,违反了《食用农产品市场销售质量安全监督管理办法》第八条第一款和《中华人民共和国食品安全法》第六十五条的规定。</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当事人经营农药残留超过国家食品安全标准限量芒果和山药的行为，违反了《食用农产品市场销售质量安全监督管理办法》第十五条第一款和《中华人民共和国食品安全法》第三十四条第（二）项的规定。</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依据《食用农产品市场销售质量安全监督管理办法》第三十九条第（一）项和第四十二条及《中华人民共和国食品安全法》第一百二十六条第一款和第一百二十四条第一款第（一）项的规定，责令当事人改正违法行为，给予警告，没收违法所得182元，罚款20000元(处罚决定书编号:赣市市监稽南康处罚〔2024〕3040号)。</w:t>
      </w:r>
    </w:p>
    <w:p>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eastAsia" w:ascii="黑体" w:hAnsi="黑体" w:eastAsia="黑体" w:cs="黑体"/>
          <w:color w:val="333333"/>
          <w:kern w:val="0"/>
          <w:sz w:val="32"/>
          <w:szCs w:val="32"/>
          <w:shd w:val="clear" w:color="auto" w:fill="FFFFFF"/>
          <w:lang w:val="en-US" w:eastAsia="zh-CN" w:bidi="ar"/>
        </w:rPr>
      </w:pPr>
      <w:r>
        <w:rPr>
          <w:rFonts w:hint="eastAsia" w:ascii="黑体" w:hAnsi="黑体" w:eastAsia="黑体" w:cs="黑体"/>
          <w:color w:val="333333"/>
          <w:kern w:val="0"/>
          <w:sz w:val="32"/>
          <w:szCs w:val="32"/>
          <w:shd w:val="clear" w:color="auto" w:fill="FFFFFF"/>
          <w:lang w:val="en-US" w:eastAsia="zh-CN" w:bidi="ar"/>
        </w:rPr>
        <w:t>三、赣县区王连香蔬菜摊经营重金属超过食品安全标准限量的老姜案</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jc w:val="both"/>
        <w:textAlignment w:val="auto"/>
        <w:rPr>
          <w:rFonts w:hint="eastAsia" w:ascii="仿宋" w:hAnsi="仿宋" w:eastAsia="仿宋" w:cs="仿宋"/>
          <w:sz w:val="32"/>
          <w:szCs w:val="32"/>
        </w:rPr>
      </w:pPr>
      <w:r>
        <w:rPr>
          <w:rFonts w:hint="eastAsia" w:ascii="仿宋" w:hAnsi="仿宋" w:eastAsia="仿宋" w:cs="仿宋"/>
          <w:sz w:val="32"/>
          <w:szCs w:val="32"/>
          <w:lang w:eastAsia="zh-CN"/>
        </w:rPr>
        <w:t>（一）</w:t>
      </w:r>
      <w:r>
        <w:rPr>
          <w:rFonts w:hint="eastAsia" w:ascii="仿宋" w:hAnsi="仿宋" w:eastAsia="仿宋" w:cs="仿宋"/>
          <w:sz w:val="32"/>
          <w:szCs w:val="32"/>
        </w:rPr>
        <w:t>食品名称：</w:t>
      </w:r>
      <w:r>
        <w:rPr>
          <w:rFonts w:hint="eastAsia" w:ascii="仿宋" w:hAnsi="仿宋" w:eastAsia="仿宋" w:cs="仿宋"/>
          <w:color w:val="auto"/>
          <w:sz w:val="32"/>
          <w:szCs w:val="32"/>
          <w:u w:val="none"/>
          <w:lang w:val="en-US" w:eastAsia="zh-CN"/>
        </w:rPr>
        <w:t>老姜</w:t>
      </w:r>
      <w:r>
        <w:rPr>
          <w:rFonts w:hint="eastAsia" w:ascii="仿宋" w:hAnsi="仿宋" w:eastAsia="仿宋" w:cs="仿宋"/>
          <w:sz w:val="32"/>
          <w:szCs w:val="32"/>
        </w:rPr>
        <w:t>；抽样日期：</w:t>
      </w:r>
      <w:r>
        <w:rPr>
          <w:rFonts w:hint="eastAsia" w:ascii="仿宋" w:hAnsi="仿宋" w:eastAsia="仿宋" w:cs="仿宋"/>
          <w:bCs/>
          <w:sz w:val="32"/>
          <w:szCs w:val="32"/>
        </w:rPr>
        <w:t>2024年4月18日</w:t>
      </w:r>
      <w:r>
        <w:rPr>
          <w:rFonts w:hint="eastAsia" w:ascii="仿宋" w:hAnsi="仿宋" w:eastAsia="仿宋" w:cs="仿宋"/>
          <w:sz w:val="32"/>
          <w:szCs w:val="32"/>
        </w:rPr>
        <w:t>；不合格项目：</w:t>
      </w:r>
      <w:r>
        <w:rPr>
          <w:rFonts w:hint="eastAsia" w:ascii="仿宋" w:hAnsi="仿宋" w:eastAsia="仿宋" w:cs="仿宋"/>
          <w:bCs/>
          <w:sz w:val="32"/>
          <w:szCs w:val="32"/>
        </w:rPr>
        <w:t>铅（以Pb计）</w:t>
      </w:r>
      <w:r>
        <w:rPr>
          <w:rFonts w:hint="eastAsia" w:ascii="仿宋" w:hAnsi="仿宋" w:eastAsia="仿宋" w:cs="仿宋"/>
          <w:sz w:val="32"/>
          <w:szCs w:val="32"/>
        </w:rPr>
        <w:t>。</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jc w:val="both"/>
        <w:textAlignment w:val="auto"/>
        <w:rPr>
          <w:rFonts w:hint="eastAsia" w:ascii="仿宋" w:hAnsi="仿宋" w:eastAsia="仿宋" w:cs="仿宋"/>
          <w:sz w:val="32"/>
          <w:szCs w:val="32"/>
        </w:rPr>
      </w:pPr>
      <w:r>
        <w:rPr>
          <w:rFonts w:hint="eastAsia" w:ascii="仿宋" w:hAnsi="仿宋" w:eastAsia="仿宋" w:cs="仿宋"/>
          <w:sz w:val="32"/>
          <w:szCs w:val="32"/>
        </w:rPr>
        <w:t>（二）风险控制</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60" w:lineRule="exact"/>
        <w:ind w:left="0" w:right="0" w:rightChars="0"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b w:val="0"/>
          <w:bCs w:val="0"/>
          <w:kern w:val="0"/>
          <w:sz w:val="32"/>
          <w:szCs w:val="32"/>
          <w:lang w:val="en-US" w:eastAsia="zh-CN" w:bidi="ar"/>
        </w:rPr>
        <w:t>赣州市场监督管理执法稽查局赣县分局按规定时间送达《检验结果通知书》至</w:t>
      </w:r>
      <w:r>
        <w:rPr>
          <w:rFonts w:hint="eastAsia" w:ascii="仿宋" w:hAnsi="仿宋" w:eastAsia="仿宋" w:cs="仿宋"/>
          <w:bCs/>
          <w:kern w:val="0"/>
          <w:sz w:val="32"/>
          <w:szCs w:val="32"/>
          <w:lang w:val="en-US" w:eastAsia="zh-CN" w:bidi="ar"/>
        </w:rPr>
        <w:t>赣县区王连香蔬菜摊</w:t>
      </w:r>
      <w:r>
        <w:rPr>
          <w:rFonts w:hint="eastAsia" w:ascii="仿宋" w:hAnsi="仿宋" w:eastAsia="仿宋" w:cs="仿宋"/>
          <w:b w:val="0"/>
          <w:bCs w:val="0"/>
          <w:color w:val="auto"/>
          <w:spacing w:val="0"/>
          <w:kern w:val="0"/>
          <w:sz w:val="32"/>
          <w:szCs w:val="32"/>
          <w:u w:val="none"/>
          <w:lang w:val="en-US" w:eastAsia="zh-CN" w:bidi="ar"/>
        </w:rPr>
        <w:t>,</w:t>
      </w:r>
      <w:r>
        <w:rPr>
          <w:rFonts w:hint="eastAsia" w:ascii="仿宋" w:hAnsi="仿宋" w:eastAsia="仿宋" w:cs="仿宋"/>
          <w:kern w:val="0"/>
          <w:sz w:val="32"/>
          <w:szCs w:val="32"/>
          <w:lang w:val="en-US" w:eastAsia="zh-CN" w:bidi="ar"/>
        </w:rPr>
        <w:t>并责令其立即停止销售和召回不合格批次</w:t>
      </w:r>
      <w:r>
        <w:rPr>
          <w:rFonts w:hint="eastAsia" w:ascii="仿宋" w:hAnsi="仿宋" w:eastAsia="仿宋" w:cs="仿宋"/>
          <w:b w:val="0"/>
          <w:bCs/>
          <w:color w:val="auto"/>
          <w:kern w:val="0"/>
          <w:sz w:val="32"/>
          <w:szCs w:val="32"/>
          <w:u w:val="none"/>
          <w:lang w:val="en-US" w:eastAsia="zh-CN" w:bidi="ar"/>
        </w:rPr>
        <w:t>老姜</w:t>
      </w:r>
      <w:r>
        <w:rPr>
          <w:rFonts w:hint="eastAsia" w:ascii="仿宋" w:hAnsi="仿宋" w:eastAsia="仿宋" w:cs="仿宋"/>
          <w:kern w:val="0"/>
          <w:sz w:val="32"/>
          <w:szCs w:val="32"/>
          <w:lang w:val="en-US" w:eastAsia="zh-CN" w:bidi="ar"/>
        </w:rPr>
        <w:t>。</w:t>
      </w:r>
      <w:r>
        <w:rPr>
          <w:rFonts w:hint="eastAsia" w:ascii="仿宋" w:hAnsi="仿宋" w:eastAsia="仿宋" w:cs="仿宋"/>
          <w:i w:val="0"/>
          <w:iCs w:val="0"/>
          <w:caps w:val="0"/>
          <w:color w:val="000000"/>
          <w:spacing w:val="0"/>
          <w:kern w:val="0"/>
          <w:sz w:val="32"/>
          <w:szCs w:val="32"/>
          <w:shd w:val="clear" w:fill="FFFFFF"/>
          <w:lang w:val="en-US" w:eastAsia="zh-CN" w:bidi="ar"/>
        </w:rPr>
        <w:t>经核查，</w:t>
      </w:r>
      <w:r>
        <w:rPr>
          <w:rFonts w:hint="eastAsia" w:ascii="仿宋" w:hAnsi="仿宋" w:eastAsia="仿宋" w:cs="仿宋"/>
          <w:bCs/>
          <w:kern w:val="0"/>
          <w:sz w:val="32"/>
          <w:szCs w:val="32"/>
          <w:lang w:val="en-US" w:eastAsia="zh-CN" w:bidi="ar"/>
        </w:rPr>
        <w:t>当事人</w:t>
      </w:r>
      <w:r>
        <w:rPr>
          <w:rFonts w:hint="eastAsia" w:ascii="仿宋" w:hAnsi="仿宋" w:eastAsia="仿宋" w:cs="仿宋"/>
          <w:i w:val="0"/>
          <w:iCs w:val="0"/>
          <w:caps w:val="0"/>
          <w:color w:val="000000"/>
          <w:spacing w:val="0"/>
          <w:kern w:val="0"/>
          <w:sz w:val="32"/>
          <w:szCs w:val="32"/>
          <w:shd w:val="clear" w:fill="FFFFFF"/>
          <w:lang w:val="en-US" w:eastAsia="zh-CN" w:bidi="ar"/>
        </w:rPr>
        <w:t>采购经营的不合格批次老姜</w:t>
      </w:r>
      <w:r>
        <w:rPr>
          <w:rFonts w:hint="eastAsia" w:ascii="仿宋" w:hAnsi="仿宋" w:eastAsia="仿宋" w:cs="仿宋"/>
          <w:bCs/>
          <w:kern w:val="0"/>
          <w:sz w:val="32"/>
          <w:szCs w:val="32"/>
          <w:lang w:val="en-US" w:eastAsia="zh-CN" w:bidi="ar"/>
        </w:rPr>
        <w:t>14公斤</w:t>
      </w:r>
      <w:r>
        <w:rPr>
          <w:rFonts w:hint="eastAsia" w:ascii="仿宋" w:hAnsi="仿宋" w:eastAsia="仿宋" w:cs="仿宋"/>
          <w:i w:val="0"/>
          <w:iCs w:val="0"/>
          <w:caps w:val="0"/>
          <w:color w:val="000000"/>
          <w:spacing w:val="0"/>
          <w:kern w:val="0"/>
          <w:sz w:val="32"/>
          <w:szCs w:val="32"/>
          <w:shd w:val="clear" w:fill="FFFFFF"/>
          <w:lang w:val="en-US" w:eastAsia="zh-CN" w:bidi="ar"/>
        </w:rPr>
        <w:t>，均已售出，召回0公斤。</w:t>
      </w:r>
    </w:p>
    <w:p>
      <w:pPr>
        <w:keepNext w:val="0"/>
        <w:keepLines w:val="0"/>
        <w:pageBreakBefore w:val="0"/>
        <w:widowControl/>
        <w:numPr>
          <w:ilvl w:val="0"/>
          <w:numId w:val="1"/>
        </w:numPr>
        <w:shd w:val="clear" w:color="auto" w:fill="FFFFFF"/>
        <w:kinsoku/>
        <w:wordWrap/>
        <w:overflowPunct/>
        <w:topLinePunct w:val="0"/>
        <w:autoSpaceDE/>
        <w:autoSpaceDN/>
        <w:bidi w:val="0"/>
        <w:adjustRightInd/>
        <w:snapToGrid/>
        <w:spacing w:line="560" w:lineRule="exact"/>
        <w:ind w:firstLine="640"/>
        <w:jc w:val="both"/>
        <w:textAlignment w:val="auto"/>
        <w:rPr>
          <w:rFonts w:hint="eastAsia" w:ascii="仿宋" w:hAnsi="仿宋" w:eastAsia="仿宋" w:cs="仿宋"/>
          <w:sz w:val="32"/>
          <w:szCs w:val="32"/>
        </w:rPr>
      </w:pPr>
      <w:r>
        <w:rPr>
          <w:rFonts w:hint="eastAsia" w:ascii="仿宋" w:hAnsi="仿宋" w:eastAsia="仿宋" w:cs="仿宋"/>
          <w:sz w:val="32"/>
          <w:szCs w:val="32"/>
        </w:rPr>
        <w:t>行政处罚</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当事人</w:t>
      </w:r>
      <w:r>
        <w:rPr>
          <w:rFonts w:hint="eastAsia" w:ascii="仿宋" w:hAnsi="仿宋" w:eastAsia="仿宋" w:cs="仿宋"/>
          <w:b w:val="0"/>
          <w:bCs w:val="0"/>
          <w:color w:val="auto"/>
          <w:sz w:val="32"/>
          <w:szCs w:val="32"/>
          <w:u w:val="none"/>
          <w:lang w:eastAsia="zh-CN"/>
        </w:rPr>
        <w:t>经营</w:t>
      </w:r>
      <w:r>
        <w:rPr>
          <w:rFonts w:hint="eastAsia" w:ascii="仿宋" w:hAnsi="仿宋" w:eastAsia="仿宋" w:cs="仿宋"/>
          <w:bCs/>
          <w:sz w:val="32"/>
          <w:szCs w:val="32"/>
        </w:rPr>
        <w:t>重金属超过食品安全标准限量</w:t>
      </w:r>
      <w:r>
        <w:rPr>
          <w:rFonts w:hint="eastAsia" w:ascii="仿宋" w:hAnsi="仿宋" w:eastAsia="仿宋" w:cs="仿宋"/>
          <w:b w:val="0"/>
          <w:bCs w:val="0"/>
          <w:sz w:val="32"/>
          <w:szCs w:val="32"/>
        </w:rPr>
        <w:t>的</w:t>
      </w:r>
      <w:r>
        <w:rPr>
          <w:rFonts w:hint="eastAsia" w:ascii="仿宋" w:hAnsi="仿宋" w:eastAsia="仿宋" w:cs="仿宋"/>
          <w:b w:val="0"/>
          <w:bCs w:val="0"/>
          <w:sz w:val="32"/>
          <w:szCs w:val="32"/>
          <w:lang w:val="en-US" w:eastAsia="zh-CN"/>
        </w:rPr>
        <w:t>老姜</w:t>
      </w:r>
      <w:r>
        <w:rPr>
          <w:rFonts w:hint="eastAsia" w:ascii="仿宋" w:hAnsi="仿宋" w:eastAsia="仿宋" w:cs="仿宋"/>
          <w:b w:val="0"/>
          <w:bCs w:val="0"/>
          <w:sz w:val="32"/>
          <w:szCs w:val="32"/>
        </w:rPr>
        <w:t>行为</w:t>
      </w:r>
      <w:r>
        <w:rPr>
          <w:rFonts w:hint="eastAsia" w:ascii="仿宋" w:hAnsi="仿宋" w:eastAsia="仿宋" w:cs="仿宋"/>
          <w:b w:val="0"/>
          <w:bCs w:val="0"/>
          <w:sz w:val="32"/>
          <w:szCs w:val="32"/>
          <w:lang w:eastAsia="zh-CN"/>
        </w:rPr>
        <w:t>，</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 w:hAnsi="仿宋" w:eastAsia="仿宋" w:cs="仿宋"/>
          <w:bCs/>
          <w:color w:val="auto"/>
          <w:spacing w:val="-6"/>
          <w:sz w:val="32"/>
          <w:szCs w:val="32"/>
        </w:rPr>
      </w:pPr>
      <w:r>
        <w:rPr>
          <w:rFonts w:hint="eastAsia" w:ascii="仿宋" w:hAnsi="仿宋" w:eastAsia="仿宋" w:cs="仿宋"/>
          <w:b w:val="0"/>
          <w:bCs w:val="0"/>
          <w:sz w:val="32"/>
          <w:szCs w:val="32"/>
        </w:rPr>
        <w:t>违反了</w:t>
      </w:r>
      <w:r>
        <w:rPr>
          <w:rFonts w:hint="eastAsia" w:ascii="仿宋" w:hAnsi="仿宋" w:eastAsia="仿宋" w:cs="仿宋"/>
          <w:bCs/>
          <w:sz w:val="32"/>
          <w:szCs w:val="32"/>
        </w:rPr>
        <w:t>《江西省食品小作坊小餐饮小食杂店小摊贩管理条例》第十条第（七）项和《食用农产品市场销售质量安全监督管理办法》第十五条</w:t>
      </w:r>
      <w:r>
        <w:rPr>
          <w:rFonts w:hint="eastAsia" w:ascii="仿宋" w:hAnsi="仿宋" w:eastAsia="仿宋" w:cs="仿宋"/>
          <w:color w:val="auto"/>
          <w:spacing w:val="-6"/>
          <w:sz w:val="32"/>
          <w:szCs w:val="32"/>
        </w:rPr>
        <w:t>的规定</w:t>
      </w:r>
      <w:r>
        <w:rPr>
          <w:rFonts w:hint="eastAsia" w:ascii="仿宋" w:hAnsi="仿宋" w:eastAsia="仿宋" w:cs="仿宋"/>
          <w:bCs/>
          <w:color w:val="auto"/>
          <w:spacing w:val="-6"/>
          <w:sz w:val="32"/>
          <w:szCs w:val="32"/>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Cs/>
          <w:sz w:val="32"/>
          <w:szCs w:val="32"/>
        </w:rPr>
        <w:t>鉴于当事人能积极配合执法人员调查,如实陈述违法事实并主动提供证据材料，采购</w:t>
      </w:r>
      <w:r>
        <w:rPr>
          <w:rFonts w:hint="eastAsia" w:ascii="仿宋" w:hAnsi="仿宋" w:eastAsia="仿宋" w:cs="仿宋"/>
          <w:bCs/>
          <w:sz w:val="32"/>
          <w:szCs w:val="32"/>
          <w:lang w:val="en-US" w:eastAsia="zh-CN"/>
        </w:rPr>
        <w:t>涉案</w:t>
      </w:r>
      <w:r>
        <w:rPr>
          <w:rFonts w:hint="eastAsia" w:ascii="仿宋" w:hAnsi="仿宋" w:eastAsia="仿宋" w:cs="仿宋"/>
          <w:bCs/>
          <w:sz w:val="32"/>
          <w:szCs w:val="32"/>
        </w:rPr>
        <w:t>老姜</w:t>
      </w:r>
      <w:r>
        <w:rPr>
          <w:rFonts w:hint="eastAsia" w:ascii="仿宋" w:hAnsi="仿宋" w:eastAsia="仿宋" w:cs="仿宋"/>
          <w:bCs/>
          <w:color w:val="000000"/>
          <w:sz w:val="32"/>
          <w:szCs w:val="32"/>
        </w:rPr>
        <w:t>履行了索证索票进货查验义务，可追溯产品的来源</w:t>
      </w:r>
      <w:r>
        <w:rPr>
          <w:rFonts w:hint="eastAsia" w:ascii="仿宋" w:hAnsi="仿宋" w:eastAsia="仿宋" w:cs="仿宋"/>
          <w:sz w:val="32"/>
          <w:szCs w:val="32"/>
        </w:rPr>
        <w:t>，有证据足以证明没有主观过错。</w:t>
      </w:r>
      <w:r>
        <w:rPr>
          <w:rFonts w:hint="eastAsia" w:ascii="仿宋" w:hAnsi="仿宋" w:eastAsia="仿宋" w:cs="仿宋"/>
          <w:bCs/>
          <w:color w:val="000000"/>
          <w:sz w:val="32"/>
          <w:szCs w:val="32"/>
        </w:rPr>
        <w:t>依据《中华人民共和国行政处罚法》第二十八条第一款、第三十三条第二款</w:t>
      </w:r>
      <w:r>
        <w:rPr>
          <w:rFonts w:hint="eastAsia" w:ascii="仿宋" w:hAnsi="仿宋" w:eastAsia="仿宋" w:cs="仿宋"/>
          <w:bCs/>
          <w:color w:val="000000"/>
          <w:sz w:val="32"/>
          <w:szCs w:val="32"/>
          <w:lang w:eastAsia="zh-CN"/>
        </w:rPr>
        <w:t>、</w:t>
      </w:r>
      <w:r>
        <w:rPr>
          <w:rFonts w:hint="eastAsia" w:ascii="仿宋" w:hAnsi="仿宋" w:eastAsia="仿宋" w:cs="仿宋"/>
          <w:bCs/>
          <w:color w:val="000000"/>
          <w:sz w:val="32"/>
          <w:szCs w:val="32"/>
          <w:lang w:val="en-US" w:eastAsia="zh-CN"/>
        </w:rPr>
        <w:t>第三款</w:t>
      </w:r>
      <w:r>
        <w:rPr>
          <w:rFonts w:hint="eastAsia" w:ascii="仿宋" w:hAnsi="仿宋" w:eastAsia="仿宋" w:cs="仿宋"/>
          <w:bCs/>
          <w:color w:val="000000"/>
          <w:sz w:val="32"/>
          <w:szCs w:val="32"/>
          <w:lang w:eastAsia="zh-CN"/>
        </w:rPr>
        <w:t>，</w:t>
      </w:r>
      <w:r>
        <w:rPr>
          <w:rFonts w:hint="eastAsia" w:ascii="仿宋" w:hAnsi="仿宋" w:eastAsia="仿宋" w:cs="仿宋"/>
          <w:bCs/>
          <w:sz w:val="32"/>
          <w:szCs w:val="32"/>
        </w:rPr>
        <w:t>以及</w:t>
      </w:r>
      <w:r>
        <w:rPr>
          <w:rFonts w:hint="eastAsia" w:ascii="仿宋" w:hAnsi="仿宋" w:eastAsia="仿宋" w:cs="仿宋"/>
          <w:sz w:val="32"/>
          <w:szCs w:val="32"/>
        </w:rPr>
        <w:t>《</w:t>
      </w:r>
      <w:r>
        <w:rPr>
          <w:rFonts w:hint="eastAsia" w:ascii="仿宋" w:hAnsi="仿宋" w:eastAsia="仿宋" w:cs="仿宋"/>
          <w:sz w:val="32"/>
          <w:szCs w:val="32"/>
          <w:shd w:val="clear" w:color="auto" w:fill="FFFFFF"/>
        </w:rPr>
        <w:t>食用农产品市场销售质量安全监督管理办法》第四十</w:t>
      </w:r>
      <w:r>
        <w:rPr>
          <w:rFonts w:hint="eastAsia" w:ascii="仿宋" w:hAnsi="仿宋" w:eastAsia="仿宋" w:cs="仿宋"/>
          <w:sz w:val="32"/>
          <w:szCs w:val="32"/>
        </w:rPr>
        <w:t>八条的规</w:t>
      </w:r>
      <w:r>
        <w:rPr>
          <w:rFonts w:hint="eastAsia" w:ascii="仿宋" w:hAnsi="仿宋" w:eastAsia="仿宋" w:cs="仿宋"/>
          <w:sz w:val="32"/>
          <w:szCs w:val="32"/>
          <w:shd w:val="clear" w:color="auto" w:fill="FFFFFF"/>
        </w:rPr>
        <w:t>定，</w:t>
      </w:r>
      <w:r>
        <w:rPr>
          <w:rFonts w:hint="eastAsia" w:ascii="仿宋" w:hAnsi="仿宋" w:eastAsia="仿宋" w:cs="仿宋"/>
          <w:bCs/>
          <w:color w:val="000000"/>
          <w:sz w:val="32"/>
          <w:szCs w:val="32"/>
        </w:rPr>
        <w:t>责令当事人改正违法行为，</w:t>
      </w:r>
      <w:r>
        <w:rPr>
          <w:rFonts w:hint="eastAsia" w:ascii="仿宋" w:hAnsi="仿宋" w:eastAsia="仿宋" w:cs="仿宋"/>
          <w:sz w:val="32"/>
          <w:szCs w:val="32"/>
        </w:rPr>
        <w:t>免</w:t>
      </w:r>
      <w:r>
        <w:rPr>
          <w:rFonts w:hint="eastAsia" w:ascii="仿宋" w:hAnsi="仿宋" w:eastAsia="仿宋" w:cs="仿宋"/>
          <w:sz w:val="32"/>
          <w:szCs w:val="32"/>
          <w:shd w:val="clear" w:color="auto" w:fill="FFFFFF"/>
        </w:rPr>
        <w:t>予</w:t>
      </w:r>
      <w:r>
        <w:rPr>
          <w:rFonts w:hint="eastAsia" w:ascii="仿宋" w:hAnsi="仿宋" w:eastAsia="仿宋" w:cs="仿宋"/>
          <w:sz w:val="32"/>
          <w:szCs w:val="32"/>
        </w:rPr>
        <w:t>行政处罚，并对当事人进行教育</w:t>
      </w:r>
      <w:r>
        <w:rPr>
          <w:rFonts w:hint="eastAsia" w:ascii="仿宋" w:hAnsi="仿宋" w:eastAsia="仿宋" w:cs="仿宋"/>
          <w:sz w:val="32"/>
          <w:szCs w:val="32"/>
          <w:lang w:eastAsia="zh-CN"/>
        </w:rPr>
        <w:t>。</w:t>
      </w:r>
    </w:p>
    <w:p>
      <w:pPr>
        <w:keepNext w:val="0"/>
        <w:keepLines w:val="0"/>
        <w:pageBreakBefore w:val="0"/>
        <w:kinsoku/>
        <w:wordWrap/>
        <w:overflowPunct/>
        <w:topLinePunct w:val="0"/>
        <w:autoSpaceDE/>
        <w:autoSpaceDN/>
        <w:bidi w:val="0"/>
        <w:adjustRightInd/>
        <w:snapToGrid w:val="0"/>
        <w:spacing w:line="560" w:lineRule="exact"/>
        <w:jc w:val="left"/>
        <w:textAlignment w:val="auto"/>
        <w:rPr>
          <w:rFonts w:hint="eastAsia" w:ascii="仿宋" w:hAnsi="仿宋" w:eastAsia="仿宋" w:cs="仿宋"/>
          <w:b w:val="0"/>
          <w:bCs w:val="0"/>
          <w:spacing w:val="-17"/>
          <w:sz w:val="32"/>
          <w:szCs w:val="32"/>
        </w:rPr>
      </w:pPr>
      <w:r>
        <w:rPr>
          <w:rFonts w:hint="eastAsia" w:ascii="仿宋" w:hAnsi="仿宋" w:eastAsia="仿宋" w:cs="仿宋"/>
          <w:b w:val="0"/>
          <w:bCs w:val="0"/>
          <w:spacing w:val="-17"/>
          <w:sz w:val="32"/>
          <w:szCs w:val="32"/>
        </w:rPr>
        <w:t>（不予行政处罚决定书编号：</w:t>
      </w:r>
      <w:r>
        <w:rPr>
          <w:rFonts w:hint="eastAsia" w:ascii="仿宋" w:hAnsi="仿宋" w:eastAsia="仿宋" w:cs="仿宋"/>
          <w:bCs/>
          <w:spacing w:val="-17"/>
          <w:sz w:val="32"/>
          <w:szCs w:val="32"/>
        </w:rPr>
        <w:t>赣市</w:t>
      </w:r>
      <w:r>
        <w:rPr>
          <w:rFonts w:hint="eastAsia" w:ascii="仿宋" w:hAnsi="仿宋" w:eastAsia="仿宋" w:cs="仿宋"/>
          <w:bCs/>
          <w:color w:val="000000"/>
          <w:spacing w:val="-17"/>
          <w:sz w:val="32"/>
          <w:szCs w:val="32"/>
        </w:rPr>
        <w:t>市监稽赣县不罚〔2024〕</w:t>
      </w:r>
      <w:r>
        <w:rPr>
          <w:rFonts w:hint="eastAsia" w:ascii="仿宋" w:hAnsi="仿宋" w:eastAsia="仿宋" w:cs="仿宋"/>
          <w:bCs/>
          <w:color w:val="000000"/>
          <w:spacing w:val="-17"/>
          <w:sz w:val="32"/>
          <w:szCs w:val="32"/>
          <w:lang w:val="en-US" w:eastAsia="zh-CN"/>
        </w:rPr>
        <w:t>84</w:t>
      </w:r>
      <w:r>
        <w:rPr>
          <w:rFonts w:hint="eastAsia" w:ascii="仿宋" w:hAnsi="仿宋" w:eastAsia="仿宋" w:cs="仿宋"/>
          <w:bCs/>
          <w:color w:val="000000"/>
          <w:spacing w:val="-17"/>
          <w:sz w:val="32"/>
          <w:szCs w:val="32"/>
        </w:rPr>
        <w:t>号</w:t>
      </w:r>
      <w:r>
        <w:rPr>
          <w:rFonts w:hint="eastAsia" w:ascii="仿宋" w:hAnsi="仿宋" w:eastAsia="仿宋" w:cs="仿宋"/>
          <w:b w:val="0"/>
          <w:bCs w:val="0"/>
          <w:spacing w:val="-17"/>
          <w:sz w:val="32"/>
          <w:szCs w:val="32"/>
        </w:rPr>
        <w:t>） 。</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4480" w:firstLineChars="14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赣州市市场监督管理局</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2024年8月9日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7A"/>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宋体S-超大字符集(SIP)">
    <w:panose1 w:val="03000509000000000000"/>
    <w:charset w:val="86"/>
    <w:family w:val="auto"/>
    <w:pitch w:val="default"/>
    <w:sig w:usb0="00000003" w:usb1="0A0E0800" w:usb2="00000006" w:usb3="00000000" w:csb0="00040001" w:csb1="00000000"/>
  </w:font>
  <w:font w:name="方正黑体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微软雅黑">
    <w:altName w:val="方正黑体_GBK"/>
    <w:panose1 w:val="020B0503020204020204"/>
    <w:charset w:val="86"/>
    <w:family w:val="auto"/>
    <w:pitch w:val="default"/>
    <w:sig w:usb0="00000000" w:usb1="00000000" w:usb2="00000016" w:usb3="00000000" w:csb0="0004001F" w:csb1="00000000"/>
  </w:font>
  <w:font w:name="Helvetica">
    <w:altName w:val="C059"/>
    <w:panose1 w:val="00000000000000000000"/>
    <w:charset w:val="00"/>
    <w:family w:val="auto"/>
    <w:pitch w:val="default"/>
    <w:sig w:usb0="00000000" w:usb1="00000000" w:usb2="00000000" w:usb3="00000000" w:csb0="00000000" w:csb1="00000000"/>
  </w:font>
  <w:font w:name="C059">
    <w:panose1 w:val="00000500000000000000"/>
    <w:charset w:val="00"/>
    <w:family w:val="auto"/>
    <w:pitch w:val="default"/>
    <w:sig w:usb0="00000287" w:usb1="00000800" w:usb2="00000000" w:usb3="00000000" w:csb0="6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EC2BFA"/>
    <w:multiLevelType w:val="singleLevel"/>
    <w:tmpl w:val="90EC2BFA"/>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IyNjY3MGQzNDFkYjE4NmFhZmY4NTg1MmNjMGJjMzAifQ=="/>
  </w:docVars>
  <w:rsids>
    <w:rsidRoot w:val="3ACF4EC5"/>
    <w:rsid w:val="007E4E2D"/>
    <w:rsid w:val="015B6D94"/>
    <w:rsid w:val="026B74AB"/>
    <w:rsid w:val="04442EDA"/>
    <w:rsid w:val="061A0ADF"/>
    <w:rsid w:val="06856661"/>
    <w:rsid w:val="06C167C9"/>
    <w:rsid w:val="08E43B13"/>
    <w:rsid w:val="0AAF1D47"/>
    <w:rsid w:val="0CE76A7D"/>
    <w:rsid w:val="0E602941"/>
    <w:rsid w:val="109429F5"/>
    <w:rsid w:val="111927C8"/>
    <w:rsid w:val="12990002"/>
    <w:rsid w:val="145F4995"/>
    <w:rsid w:val="17B24CB7"/>
    <w:rsid w:val="18B62D38"/>
    <w:rsid w:val="198D78AF"/>
    <w:rsid w:val="1A7E01DF"/>
    <w:rsid w:val="1AD35795"/>
    <w:rsid w:val="1B9E72CC"/>
    <w:rsid w:val="1CBC0BD7"/>
    <w:rsid w:val="1CE65C54"/>
    <w:rsid w:val="1F015F8F"/>
    <w:rsid w:val="1FE3C032"/>
    <w:rsid w:val="1FF7009F"/>
    <w:rsid w:val="212F7059"/>
    <w:rsid w:val="21F9115B"/>
    <w:rsid w:val="22325497"/>
    <w:rsid w:val="23024E6A"/>
    <w:rsid w:val="235C658B"/>
    <w:rsid w:val="24773635"/>
    <w:rsid w:val="24843475"/>
    <w:rsid w:val="25DF0693"/>
    <w:rsid w:val="25F81002"/>
    <w:rsid w:val="26E01966"/>
    <w:rsid w:val="29A7676B"/>
    <w:rsid w:val="2A617C15"/>
    <w:rsid w:val="2BAE36BF"/>
    <w:rsid w:val="2C3A35CB"/>
    <w:rsid w:val="2CC002B3"/>
    <w:rsid w:val="2D92328E"/>
    <w:rsid w:val="2E5D389C"/>
    <w:rsid w:val="2F77098D"/>
    <w:rsid w:val="2FD8683F"/>
    <w:rsid w:val="2FDA5D83"/>
    <w:rsid w:val="2FF7E0CE"/>
    <w:rsid w:val="30B26121"/>
    <w:rsid w:val="316118F5"/>
    <w:rsid w:val="325A1368"/>
    <w:rsid w:val="327439E3"/>
    <w:rsid w:val="35D97CAC"/>
    <w:rsid w:val="37F60F4C"/>
    <w:rsid w:val="3A562061"/>
    <w:rsid w:val="3A8863EF"/>
    <w:rsid w:val="3ACF4EC5"/>
    <w:rsid w:val="3AE27603"/>
    <w:rsid w:val="3B7BA678"/>
    <w:rsid w:val="3BAC7C11"/>
    <w:rsid w:val="3BB98F5B"/>
    <w:rsid w:val="3C5130A3"/>
    <w:rsid w:val="3C9B3F0D"/>
    <w:rsid w:val="3D874491"/>
    <w:rsid w:val="3E5D1352"/>
    <w:rsid w:val="3EE9215C"/>
    <w:rsid w:val="3F5315FB"/>
    <w:rsid w:val="404E74E8"/>
    <w:rsid w:val="40D95004"/>
    <w:rsid w:val="415060F7"/>
    <w:rsid w:val="461E170B"/>
    <w:rsid w:val="478101A3"/>
    <w:rsid w:val="47900ADC"/>
    <w:rsid w:val="47C54534"/>
    <w:rsid w:val="485170EB"/>
    <w:rsid w:val="485E2293"/>
    <w:rsid w:val="48BC08F0"/>
    <w:rsid w:val="4A3B3A7E"/>
    <w:rsid w:val="4A3D338F"/>
    <w:rsid w:val="4B075CA1"/>
    <w:rsid w:val="4BD5286C"/>
    <w:rsid w:val="4BF7F3BE"/>
    <w:rsid w:val="4CEF16C3"/>
    <w:rsid w:val="4CF072C6"/>
    <w:rsid w:val="4D0B0C3B"/>
    <w:rsid w:val="4D297313"/>
    <w:rsid w:val="51596AD4"/>
    <w:rsid w:val="51C63383"/>
    <w:rsid w:val="52485783"/>
    <w:rsid w:val="528F2331"/>
    <w:rsid w:val="52E735C0"/>
    <w:rsid w:val="533F6EA0"/>
    <w:rsid w:val="536A66F2"/>
    <w:rsid w:val="537530B2"/>
    <w:rsid w:val="55045144"/>
    <w:rsid w:val="561F12B3"/>
    <w:rsid w:val="563C204D"/>
    <w:rsid w:val="57BEDAEF"/>
    <w:rsid w:val="58475D2F"/>
    <w:rsid w:val="58774563"/>
    <w:rsid w:val="59217206"/>
    <w:rsid w:val="59464DA9"/>
    <w:rsid w:val="596F2552"/>
    <w:rsid w:val="5AA4622B"/>
    <w:rsid w:val="5AF0321E"/>
    <w:rsid w:val="5B716F5E"/>
    <w:rsid w:val="5BEBB57A"/>
    <w:rsid w:val="5C713B4F"/>
    <w:rsid w:val="5C8B3BBF"/>
    <w:rsid w:val="5D804D2D"/>
    <w:rsid w:val="5DFEEA2B"/>
    <w:rsid w:val="5E6C06BF"/>
    <w:rsid w:val="5E7F6827"/>
    <w:rsid w:val="5F3C2CE0"/>
    <w:rsid w:val="5FF791AF"/>
    <w:rsid w:val="5FFD265E"/>
    <w:rsid w:val="5FFD7BCA"/>
    <w:rsid w:val="61635935"/>
    <w:rsid w:val="61A92379"/>
    <w:rsid w:val="622F6D22"/>
    <w:rsid w:val="64882911"/>
    <w:rsid w:val="64B43156"/>
    <w:rsid w:val="67EC2FBF"/>
    <w:rsid w:val="685DE49A"/>
    <w:rsid w:val="69A754D4"/>
    <w:rsid w:val="69F16894"/>
    <w:rsid w:val="69FB159A"/>
    <w:rsid w:val="6A303637"/>
    <w:rsid w:val="6A654F82"/>
    <w:rsid w:val="6AF8A879"/>
    <w:rsid w:val="6BA442DD"/>
    <w:rsid w:val="6BA50225"/>
    <w:rsid w:val="6D835AC5"/>
    <w:rsid w:val="6DEB22A9"/>
    <w:rsid w:val="6E1868BC"/>
    <w:rsid w:val="6EF762E5"/>
    <w:rsid w:val="6FDCE322"/>
    <w:rsid w:val="70BD374B"/>
    <w:rsid w:val="70D34D1C"/>
    <w:rsid w:val="70DFB2E0"/>
    <w:rsid w:val="72A050D2"/>
    <w:rsid w:val="74E4CBAB"/>
    <w:rsid w:val="74F547AC"/>
    <w:rsid w:val="75FED2A5"/>
    <w:rsid w:val="75FF8B56"/>
    <w:rsid w:val="76085468"/>
    <w:rsid w:val="766703E1"/>
    <w:rsid w:val="76B514F5"/>
    <w:rsid w:val="76BD44A5"/>
    <w:rsid w:val="777A21C2"/>
    <w:rsid w:val="77BA01A3"/>
    <w:rsid w:val="77FB6280"/>
    <w:rsid w:val="78520C1D"/>
    <w:rsid w:val="78AA0A59"/>
    <w:rsid w:val="78F26ADF"/>
    <w:rsid w:val="79C560F1"/>
    <w:rsid w:val="7A990638"/>
    <w:rsid w:val="7B7315D6"/>
    <w:rsid w:val="7BDF3B5A"/>
    <w:rsid w:val="7C330D65"/>
    <w:rsid w:val="7D5BE4B4"/>
    <w:rsid w:val="7DCF9DC2"/>
    <w:rsid w:val="7DDF343A"/>
    <w:rsid w:val="7DF764EE"/>
    <w:rsid w:val="7DFB40B9"/>
    <w:rsid w:val="7DFF8A42"/>
    <w:rsid w:val="7E67488B"/>
    <w:rsid w:val="7EBF7F80"/>
    <w:rsid w:val="7EEF3966"/>
    <w:rsid w:val="7EFD7D2F"/>
    <w:rsid w:val="7EFF6233"/>
    <w:rsid w:val="7EFF6D54"/>
    <w:rsid w:val="7FA7F25C"/>
    <w:rsid w:val="7FAE249A"/>
    <w:rsid w:val="7FB5033C"/>
    <w:rsid w:val="7FEFEDF6"/>
    <w:rsid w:val="7FFA02F4"/>
    <w:rsid w:val="7FFAF370"/>
    <w:rsid w:val="7FFDB4D8"/>
    <w:rsid w:val="7FFDDEF9"/>
    <w:rsid w:val="8EF51215"/>
    <w:rsid w:val="8F6E67CB"/>
    <w:rsid w:val="973B9899"/>
    <w:rsid w:val="9DDF6BF3"/>
    <w:rsid w:val="AF6B52F9"/>
    <w:rsid w:val="B3FAE437"/>
    <w:rsid w:val="B5BF0375"/>
    <w:rsid w:val="BBBD3823"/>
    <w:rsid w:val="BFFF3D14"/>
    <w:rsid w:val="C2EE1950"/>
    <w:rsid w:val="D3FF07D1"/>
    <w:rsid w:val="DD675704"/>
    <w:rsid w:val="E7712611"/>
    <w:rsid w:val="E7CBE14E"/>
    <w:rsid w:val="EBEB741B"/>
    <w:rsid w:val="EBFED4AB"/>
    <w:rsid w:val="EBFF650C"/>
    <w:rsid w:val="EDEFD4D2"/>
    <w:rsid w:val="EE739EDC"/>
    <w:rsid w:val="EF27A9ED"/>
    <w:rsid w:val="EF2BA69A"/>
    <w:rsid w:val="EF6F0B21"/>
    <w:rsid w:val="EFDEBE99"/>
    <w:rsid w:val="F2DB6486"/>
    <w:rsid w:val="F3F3F710"/>
    <w:rsid w:val="F7DDAADF"/>
    <w:rsid w:val="F7EADA13"/>
    <w:rsid w:val="F7F51707"/>
    <w:rsid w:val="F7F5B483"/>
    <w:rsid w:val="F9F3A86E"/>
    <w:rsid w:val="FACF798B"/>
    <w:rsid w:val="FBE4A25D"/>
    <w:rsid w:val="FD7B9A44"/>
    <w:rsid w:val="FEF5792A"/>
    <w:rsid w:val="FF2F0B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nhideWhenUsed="0"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rPr>
      <w:rFonts w:ascii="Times New Roman" w:hAnsi="Times New Roman" w:eastAsia="宋体" w:cs="Times New Roman"/>
    </w:rPr>
  </w:style>
  <w:style w:type="paragraph" w:styleId="3">
    <w:name w:val="caption"/>
    <w:basedOn w:val="1"/>
    <w:next w:val="1"/>
    <w:semiHidden/>
    <w:qFormat/>
    <w:uiPriority w:val="0"/>
    <w:rPr>
      <w:rFonts w:ascii="Arial" w:hAnsi="Arial" w:eastAsia="黑体" w:cs="Arial"/>
      <w:sz w:val="20"/>
      <w:szCs w:val="20"/>
    </w:rPr>
  </w:style>
  <w:style w:type="paragraph" w:styleId="4">
    <w:name w:val="Normal (Web)"/>
    <w:basedOn w:val="1"/>
    <w:qFormat/>
    <w:uiPriority w:val="0"/>
    <w:pPr>
      <w:spacing w:beforeAutospacing="1" w:afterAutospacing="1"/>
      <w:jc w:val="left"/>
    </w:pPr>
    <w:rPr>
      <w:rFonts w:ascii="Times New Roman" w:hAnsi="Times New Roman" w:eastAsia="宋体" w:cs="Times New Roman"/>
      <w:kern w:val="0"/>
      <w:sz w:val="24"/>
      <w:szCs w:val="24"/>
    </w:rPr>
  </w:style>
  <w:style w:type="paragraph" w:customStyle="1" w:styleId="7">
    <w:name w:val="BodyText"/>
    <w:basedOn w:val="1"/>
    <w:qFormat/>
    <w:uiPriority w:val="0"/>
    <w:pPr>
      <w:widowControl/>
      <w:spacing w:line="312" w:lineRule="auto"/>
      <w:ind w:firstLine="200" w:firstLineChars="200"/>
      <w:textAlignment w:val="baseline"/>
    </w:pPr>
    <w:rPr>
      <w:rFonts w:ascii="Times New Roman" w:hAnsi="Times New Roman" w:eastAsia="仿宋_GB2312"/>
      <w:sz w:val="32"/>
    </w:rPr>
  </w:style>
  <w:style w:type="paragraph" w:customStyle="1" w:styleId="8">
    <w:name w:val="p"/>
    <w:basedOn w:val="1"/>
    <w:qFormat/>
    <w:uiPriority w:val="0"/>
    <w:pPr>
      <w:widowControl/>
      <w:spacing w:after="240"/>
      <w:jc w:val="left"/>
    </w:pPr>
    <w:rPr>
      <w:rFonts w:ascii="宋体" w:hAnsi="宋体" w:eastAsia="宋体" w:cs="宋体"/>
      <w:kern w:val="0"/>
      <w:sz w:val="24"/>
      <w:szCs w:val="24"/>
    </w:rPr>
  </w:style>
  <w:style w:type="paragraph" w:customStyle="1" w:styleId="9">
    <w:name w:val="仿宋三号字"/>
    <w:basedOn w:val="1"/>
    <w:qFormat/>
    <w:uiPriority w:val="0"/>
    <w:pPr>
      <w:widowControl/>
      <w:jc w:val="left"/>
    </w:pPr>
    <w:rPr>
      <w:rFonts w:ascii="仿宋" w:hAnsi="仿宋" w:eastAsia="仿宋" w:cs="宋体"/>
      <w:color w:val="000000"/>
      <w:kern w:val="0"/>
      <w:sz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2</TotalTime>
  <ScaleCrop>false</ScaleCrop>
  <LinksUpToDate>false</LinksUpToDate>
  <CharactersWithSpaces>0</CharactersWithSpaces>
  <Application>WPS Office_11.8.2.10953_F1E327BC-269C-435d-A152-05C5408002CA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2023-10-03T18:29:00Z</dcterms:created>
  <dc:creator>Administrator</dc:creator>
  <cp:lastModifiedBy>user</cp:lastModifiedBy>
  <cp:lastPrinted>2024-05-24T15:31:00Z</cp:lastPrinted>
  <dcterms:modified xsi:type="dcterms:W3CDTF">2024-08-09T15:35:31Z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2052-11.8.2.10953</vt:lpwstr>
  </property>
  <property fmtid="{D5CDD505-2E9C-101B-9397-08002B2CF9AE}" pid="3" name="ICV">
    <vt:lpwstr>E086F06BF64C4306BAB79EE9E96747C4_13</vt:lpwstr>
  </property>
</Properties>
</file>