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autoSpaceDE/>
        <w:autoSpaceDN/>
        <w:bidi w:val="0"/>
        <w:adjustRightInd/>
        <w:snapToGrid/>
        <w:spacing w:line="560" w:lineRule="exact"/>
        <w:ind w:right="0"/>
        <w:jc w:val="center"/>
        <w:textAlignment w:val="auto"/>
        <w:rPr>
          <w:rFonts w:hint="eastAsia" w:ascii="宋体" w:hAnsi="宋体" w:eastAsia="方正小标宋简体" w:cs="方正小标宋简体"/>
          <w:snapToGrid w:val="0"/>
          <w:spacing w:val="0"/>
          <w:sz w:val="36"/>
          <w:szCs w:val="36"/>
        </w:rPr>
      </w:pPr>
      <w:r>
        <w:rPr>
          <w:rFonts w:hint="default" w:ascii="宋体" w:hAnsi="宋体" w:eastAsia="方正小标宋简体" w:cs="方正小标宋简体"/>
          <w:snapToGrid w:val="0"/>
          <w:spacing w:val="0"/>
          <w:sz w:val="44"/>
          <w:szCs w:val="44"/>
          <w:lang w:val="en" w:eastAsia="zh-CN"/>
        </w:rPr>
        <w:t>赣州市卫生健康系统安全生产治本攻坚三年</w:t>
      </w:r>
      <w:r>
        <w:rPr>
          <w:rFonts w:hint="eastAsia" w:ascii="宋体" w:hAnsi="宋体" w:eastAsia="方正小标宋简体" w:cs="方正小标宋简体"/>
          <w:snapToGrid w:val="0"/>
          <w:spacing w:val="0"/>
          <w:sz w:val="44"/>
          <w:szCs w:val="44"/>
        </w:rPr>
        <w:t>行动方案（2024—2026年）</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仿宋_GB2312" w:cs="仿宋_GB2312"/>
          <w:snapToGrid w:val="0"/>
          <w:spacing w:val="0"/>
          <w:sz w:val="32"/>
          <w:szCs w:val="32"/>
          <w:lang w:val="en-US" w:eastAsia="zh-CN"/>
        </w:rPr>
        <w:t>为认真贯彻落实习近平总书记关于安全生产系列重要论述和考察江西重要讲话精神，进一步夯实全市卫生健康行业领域安全生产工作基础，坚决防范遏制重特大生产安全事故，按照《赣州市卫生健康系统</w:t>
      </w:r>
      <w:r>
        <w:rPr>
          <w:rFonts w:hint="default" w:ascii="宋体" w:hAnsi="宋体" w:eastAsia="仿宋_GB2312" w:cs="仿宋_GB2312"/>
          <w:snapToGrid w:val="0"/>
          <w:spacing w:val="0"/>
          <w:sz w:val="32"/>
          <w:szCs w:val="32"/>
          <w:lang w:val="en" w:eastAsia="zh-CN"/>
        </w:rPr>
        <w:t>安全生产治本攻坚三年行动方案</w:t>
      </w:r>
      <w:r>
        <w:rPr>
          <w:rFonts w:hint="eastAsia" w:ascii="宋体" w:hAnsi="宋体" w:eastAsia="仿宋_GB2312" w:cs="仿宋_GB2312"/>
          <w:snapToGrid w:val="0"/>
          <w:spacing w:val="0"/>
          <w:sz w:val="32"/>
          <w:szCs w:val="32"/>
          <w:lang w:val="en-US" w:eastAsia="zh-CN"/>
        </w:rPr>
        <w:t>（2024—2026年）》总体要求，市卫生健康委结合工作实际，制定本方案。</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黑体" w:cs="黑体"/>
          <w:snapToGrid w:val="0"/>
          <w:spacing w:val="0"/>
          <w:sz w:val="32"/>
          <w:szCs w:val="32"/>
        </w:rPr>
      </w:pPr>
      <w:r>
        <w:rPr>
          <w:rFonts w:hint="eastAsia" w:ascii="宋体" w:hAnsi="宋体" w:eastAsia="黑体" w:cs="黑体"/>
          <w:snapToGrid w:val="0"/>
          <w:spacing w:val="0"/>
          <w:sz w:val="32"/>
          <w:szCs w:val="32"/>
        </w:rPr>
        <w:t>一、工作目标</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仿宋_GB2312" w:cs="仿宋_GB2312"/>
          <w:snapToGrid w:val="0"/>
          <w:spacing w:val="0"/>
          <w:sz w:val="32"/>
          <w:szCs w:val="32"/>
          <w:lang w:val="en-US" w:eastAsia="zh-CN"/>
        </w:rPr>
        <w:t>以习近平新时代中国特色社会主义思想为指导，全面贯彻党的二十大精神和习近平总书记关于安全生产重要论述及考察江西重要讲话精神，认真贯彻市委、市政府决策部署，坚持人民至上、生命至上，坚持安全第一、预防为主，坚持标本兼治、重在治本，全面开展卫生健康系统安全生产治本攻坚行动。通过治本攻坚三年行动，</w:t>
      </w:r>
      <w:r>
        <w:rPr>
          <w:rFonts w:hint="default" w:ascii="宋体" w:hAnsi="宋体" w:eastAsia="仿宋_GB2312" w:cs="仿宋_GB2312"/>
          <w:snapToGrid w:val="0"/>
          <w:spacing w:val="0"/>
          <w:sz w:val="32"/>
          <w:szCs w:val="32"/>
          <w:lang w:val="en" w:eastAsia="zh-CN"/>
        </w:rPr>
        <w:t>全市</w:t>
      </w:r>
      <w:r>
        <w:rPr>
          <w:rFonts w:hint="eastAsia" w:ascii="宋体" w:hAnsi="宋体" w:eastAsia="仿宋_GB2312" w:cs="仿宋_GB2312"/>
          <w:snapToGrid w:val="0"/>
          <w:spacing w:val="0"/>
          <w:sz w:val="32"/>
          <w:szCs w:val="32"/>
          <w:lang w:val="en-US" w:eastAsia="zh-CN"/>
        </w:rPr>
        <w:t>卫生健康系统安全发展理念更加牢固，安全生产责任体系更加健全完善，安全生产责任制落实更加有力，安全生产治理能力不断提升，安全生产水平全面提升。2024年底前，基本消除2023年及以前排查发现的重大事故隐患存量，初步构建医疗卫生机构全员安全生产责任体系，推动卫生健康行政部门管理的医疗卫生机构安全生产主体责任落实落地。2025年底前，逐步建立与具有相关安全生产管理职责的部门间的协作机制，构建各负其责、互相衔接、多方联动、齐抓共管的安全生产工作格局，有效遏制重大事故隐患增量，卫生健康系统安全生产管理能力大幅提升。2026年底前，</w:t>
      </w:r>
      <w:r>
        <w:rPr>
          <w:rFonts w:hint="default" w:ascii="宋体" w:hAnsi="宋体" w:eastAsia="仿宋_GB2312" w:cs="仿宋_GB2312"/>
          <w:snapToGrid w:val="0"/>
          <w:spacing w:val="0"/>
          <w:sz w:val="32"/>
          <w:szCs w:val="32"/>
          <w:lang w:val="en" w:eastAsia="zh-CN"/>
        </w:rPr>
        <w:t>市、县</w:t>
      </w:r>
      <w:r>
        <w:rPr>
          <w:rFonts w:hint="eastAsia" w:ascii="宋体" w:hAnsi="宋体" w:eastAsia="仿宋_GB2312" w:cs="仿宋_GB2312"/>
          <w:snapToGrid w:val="0"/>
          <w:spacing w:val="0"/>
          <w:sz w:val="32"/>
          <w:szCs w:val="32"/>
          <w:lang w:val="en-US" w:eastAsia="zh-CN"/>
        </w:rPr>
        <w:t>卫生健康行政部门和医疗卫生机构自觉把安全生产工作融入医疗卫生日常工作，从行业规划、发展等方面体现安全生产的要求，实现与业务同步发展，形成重大事故隐患动态清零的常态化机制，为赣州卫生健康事业高质量发展提供有力安全保障。</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黑体" w:cs="黑体"/>
          <w:snapToGrid w:val="0"/>
          <w:spacing w:val="0"/>
          <w:sz w:val="32"/>
          <w:szCs w:val="32"/>
        </w:rPr>
      </w:pPr>
      <w:r>
        <w:rPr>
          <w:rFonts w:hint="eastAsia" w:ascii="宋体" w:hAnsi="宋体" w:eastAsia="黑体" w:cs="黑体"/>
          <w:snapToGrid w:val="0"/>
          <w:spacing w:val="0"/>
          <w:sz w:val="32"/>
          <w:szCs w:val="32"/>
        </w:rPr>
        <w:t>二、主要任务</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（一）全面加强安全生产管理。</w:t>
      </w:r>
      <w:r>
        <w:rPr>
          <w:rFonts w:hint="eastAsia" w:ascii="宋体" w:hAnsi="宋体" w:eastAsia="仿宋_GB2312" w:cs="仿宋_GB2312"/>
          <w:b w:val="0"/>
          <w:bCs w:val="0"/>
          <w:snapToGrid w:val="0"/>
          <w:spacing w:val="0"/>
          <w:sz w:val="32"/>
          <w:szCs w:val="32"/>
          <w:lang w:val="en-US" w:eastAsia="zh-CN"/>
        </w:rPr>
        <w:t>推动各类医疗卫生机构严格落实《中华人民共和国安全生产法》《中华人民共和国消防法》等法律法规和《医疗机构消防安全管</w:t>
      </w:r>
      <w:r>
        <w:rPr>
          <w:rFonts w:hint="eastAsia" w:ascii="宋体" w:hAnsi="宋体" w:eastAsia="仿宋_GB2312" w:cs="仿宋_GB2312"/>
          <w:b w:val="0"/>
          <w:bCs w:val="0"/>
          <w:snapToGrid w:val="0"/>
          <w:color w:val="auto"/>
          <w:spacing w:val="0"/>
          <w:sz w:val="32"/>
          <w:szCs w:val="32"/>
          <w:lang w:val="en-US" w:eastAsia="zh-CN"/>
        </w:rPr>
        <w:t>理九项规定》《托育机构消防安全指南》《医疗机构消防安全管理（WS308—2019）》《江西省医疗机构消防安全标准化管理规定（试</w:t>
      </w:r>
      <w:r>
        <w:rPr>
          <w:rFonts w:hint="eastAsia" w:ascii="宋体" w:hAnsi="宋体" w:eastAsia="仿宋_GB2312" w:cs="仿宋_GB2312"/>
          <w:snapToGrid w:val="0"/>
          <w:color w:val="auto"/>
          <w:spacing w:val="0"/>
          <w:sz w:val="32"/>
          <w:szCs w:val="32"/>
          <w:lang w:val="en-US" w:eastAsia="zh-CN"/>
        </w:rPr>
        <w:t>行）》等规章制度。督促医疗卫生机构深化消防安全标准化管理，落实安全生产主体责任，加强安全风险分级管控和隐患排查治理，全面辨识安全风险、科学评估风险</w:t>
      </w:r>
      <w:r>
        <w:rPr>
          <w:rFonts w:hint="eastAsia" w:ascii="宋体" w:hAnsi="宋体" w:eastAsia="仿宋_GB2312" w:cs="仿宋_GB2312"/>
          <w:snapToGrid w:val="0"/>
          <w:spacing w:val="0"/>
          <w:sz w:val="32"/>
          <w:szCs w:val="32"/>
          <w:lang w:val="en-US" w:eastAsia="zh-CN"/>
        </w:rPr>
        <w:t>等级；加强电气焊安全管控和外包外租单位安全管理；加强危险化学品采购、使用、储存和废弃等环节的全流程安全管理；加强医疗设备设施管理，关注设备设施定期保养检修检验情况、功能状态、场地改造、设备设施更新换代和运行机制调整优化等工作，确保安全稳定运行。严厉整治医疗机构</w:t>
      </w:r>
      <w:r>
        <w:rPr>
          <w:rFonts w:hint="default" w:ascii="宋体" w:hAnsi="宋体" w:eastAsia="仿宋_GB2312" w:cs="仿宋_GB2312"/>
          <w:snapToGrid w:val="0"/>
          <w:spacing w:val="0"/>
          <w:sz w:val="32"/>
          <w:szCs w:val="32"/>
          <w:lang w:val="en-US" w:eastAsia="zh-CN"/>
        </w:rPr>
        <w:t>违规设置防盗</w:t>
      </w:r>
      <w:r>
        <w:rPr>
          <w:rFonts w:hint="eastAsia" w:ascii="宋体" w:hAnsi="宋体" w:eastAsia="仿宋_GB2312" w:cs="仿宋_GB2312"/>
          <w:snapToGrid w:val="0"/>
          <w:spacing w:val="0"/>
          <w:sz w:val="32"/>
          <w:szCs w:val="32"/>
          <w:lang w:val="en-US" w:eastAsia="zh-CN"/>
        </w:rPr>
        <w:t>窗（网）</w:t>
      </w:r>
      <w:r>
        <w:rPr>
          <w:rFonts w:hint="default" w:ascii="宋体" w:hAnsi="宋体" w:eastAsia="仿宋_GB2312" w:cs="仿宋_GB2312"/>
          <w:snapToGrid w:val="0"/>
          <w:spacing w:val="0"/>
          <w:sz w:val="32"/>
          <w:szCs w:val="32"/>
          <w:lang w:val="en-US" w:eastAsia="zh-CN"/>
        </w:rPr>
        <w:t>和广告牌</w:t>
      </w:r>
      <w:r>
        <w:rPr>
          <w:rFonts w:hint="eastAsia" w:ascii="宋体" w:hAnsi="宋体" w:eastAsia="仿宋_GB2312" w:cs="仿宋_GB2312"/>
          <w:snapToGrid w:val="0"/>
          <w:spacing w:val="0"/>
          <w:sz w:val="32"/>
          <w:szCs w:val="32"/>
          <w:lang w:val="en-US" w:eastAsia="zh-CN"/>
        </w:rPr>
        <w:t>、违规停放充电电动自行车、电气电线线路老化（破损）及未套金属管、未安装燃气泄漏报警装置（或未能正常运行）、违规占用堵塞疏散通道等突出隐患问题。健全完善医疗卫生机构安全生产十项规章制度及本单位的综合应急预案或专项应急预案，依法依规每年至少组织一次应急预案演练，每半年至少进行一次灭火和应急疏散演练，如实记录安全生产教育和培训情况，提升每个岗位人员应急处置能力并保持在高水平。</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 w:cs="仿宋"/>
          <w:snapToGrid w:val="0"/>
          <w:spacing w:val="0"/>
          <w:sz w:val="32"/>
          <w:szCs w:val="32"/>
        </w:rPr>
      </w:pPr>
      <w:r>
        <w:rPr>
          <w:rFonts w:hint="eastAsia" w:ascii="宋体" w:hAnsi="宋体" w:eastAsia="楷体_GB2312" w:cs="楷体_GB2312"/>
          <w:b w:val="0"/>
          <w:bCs w:val="0"/>
          <w:snapToGrid w:val="0"/>
          <w:spacing w:val="0"/>
          <w:sz w:val="32"/>
          <w:szCs w:val="32"/>
          <w:lang w:eastAsia="zh-CN"/>
        </w:rPr>
        <w:t>（二）严格落实安全生产教育培训。</w:t>
      </w:r>
      <w:r>
        <w:rPr>
          <w:rFonts w:hint="default" w:ascii="宋体" w:hAnsi="宋体" w:eastAsia="仿宋_GB2312" w:cs="仿宋_GB2312"/>
          <w:snapToGrid w:val="0"/>
          <w:spacing w:val="0"/>
          <w:sz w:val="32"/>
          <w:szCs w:val="32"/>
          <w:lang w:val="en" w:eastAsia="zh-CN"/>
        </w:rPr>
        <w:t>市、县</w:t>
      </w:r>
      <w:r>
        <w:rPr>
          <w:rFonts w:hint="eastAsia" w:ascii="宋体" w:hAnsi="宋体" w:eastAsia="仿宋_GB2312" w:cs="仿宋_GB2312"/>
          <w:snapToGrid w:val="0"/>
          <w:spacing w:val="0"/>
          <w:sz w:val="32"/>
          <w:szCs w:val="32"/>
          <w:lang w:val="en-US" w:eastAsia="zh-CN"/>
        </w:rPr>
        <w:t>两级卫生健康行政部门要组织对本单位和辖区内各医疗卫生机构进行逐级安全生产教育和培训。2024年，配合消防救援部门完成对二级及以上医院（含驻市医院）消防安全责任人的集中培训，并将安全生产内容列入各级医疗卫生机构主要负责人及安全管理人员培训的核心课程。各地组织对“小医院”（诊所、民营医院、社区、乡镇卫生院）、托育机构、医养机构主要负责人安全教育培训。各医疗机构加强本单位全员（含灵活用工人员）安全生产教育和培训，包括必备的安全生产知识、规章制度、操作规程和应急处理措施等。特种作业人员持证上岗（消防控制室人员须持中级以上证件上岗），未经安全生产教育和培训合格的人员不得上岗，做到人人过关。</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（三）</w:t>
      </w:r>
      <w:r>
        <w:rPr>
          <w:rFonts w:hint="default" w:ascii="宋体" w:hAnsi="宋体" w:eastAsia="楷体_GB2312" w:cs="楷体_GB2312"/>
          <w:b w:val="0"/>
          <w:bCs w:val="0"/>
          <w:snapToGrid w:val="0"/>
          <w:spacing w:val="0"/>
          <w:sz w:val="32"/>
          <w:szCs w:val="32"/>
          <w:lang w:eastAsia="zh-CN"/>
        </w:rPr>
        <w:fldChar w:fldCharType="begin"/>
      </w:r>
      <w:r>
        <w:rPr>
          <w:rFonts w:hint="default" w:ascii="宋体" w:hAnsi="宋体" w:eastAsia="楷体_GB2312" w:cs="楷体_GB2312"/>
          <w:b w:val="0"/>
          <w:bCs w:val="0"/>
          <w:snapToGrid w:val="0"/>
          <w:spacing w:val="0"/>
          <w:sz w:val="32"/>
          <w:szCs w:val="32"/>
          <w:lang w:eastAsia="zh-CN"/>
        </w:rPr>
        <w:instrText xml:space="preserve"> HYPERLINK "http://www.baidu.com/link?url=sqSuCj3v1IznAyolMIa1WV1dmUFRM7wLbrhuo8Gi1IuRU_dP_VlyXc1LzNkOE_AQTybBRRy4FQYQMsmSpPiu2TK-nuetHiIS0gB0W0Dof1q" \t "/home/user/文档\\x/_blank" </w:instrText>
      </w:r>
      <w:r>
        <w:rPr>
          <w:rFonts w:hint="default" w:ascii="宋体" w:hAnsi="宋体" w:eastAsia="楷体_GB2312" w:cs="楷体_GB2312"/>
          <w:b w:val="0"/>
          <w:bCs w:val="0"/>
          <w:snapToGrid w:val="0"/>
          <w:spacing w:val="0"/>
          <w:sz w:val="32"/>
          <w:szCs w:val="32"/>
          <w:lang w:eastAsia="zh-CN"/>
        </w:rPr>
        <w:fldChar w:fldCharType="separate"/>
      </w:r>
      <w:r>
        <w:rPr>
          <w:rFonts w:hint="eastAsia" w:ascii="宋体" w:hAnsi="宋体" w:eastAsia="楷体_GB2312" w:cs="楷体_GB2312"/>
          <w:b w:val="0"/>
          <w:bCs w:val="0"/>
          <w:snapToGrid w:val="0"/>
          <w:spacing w:val="0"/>
          <w:sz w:val="32"/>
          <w:szCs w:val="32"/>
          <w:lang w:eastAsia="zh-CN"/>
        </w:rPr>
        <w:t>全面强化</w:t>
      </w:r>
      <w:r>
        <w:rPr>
          <w:rFonts w:hint="default" w:ascii="宋体" w:hAnsi="宋体" w:eastAsia="楷体_GB2312" w:cs="楷体_GB2312"/>
          <w:b w:val="0"/>
          <w:bCs w:val="0"/>
          <w:snapToGrid w:val="0"/>
          <w:spacing w:val="0"/>
          <w:sz w:val="32"/>
          <w:szCs w:val="32"/>
          <w:lang w:eastAsia="zh-CN"/>
        </w:rPr>
        <w:t>安全生产责任制</w:t>
      </w:r>
      <w:r>
        <w:rPr>
          <w:rFonts w:hint="default" w:ascii="宋体" w:hAnsi="宋体" w:eastAsia="楷体_GB2312" w:cs="楷体_GB2312"/>
          <w:b w:val="0"/>
          <w:bCs w:val="0"/>
          <w:snapToGrid w:val="0"/>
          <w:spacing w:val="0"/>
          <w:sz w:val="32"/>
          <w:szCs w:val="32"/>
          <w:lang w:eastAsia="zh-CN"/>
        </w:rPr>
        <w:fldChar w:fldCharType="end"/>
      </w:r>
      <w:r>
        <w:rPr>
          <w:rFonts w:hint="eastAsia" w:ascii="宋体" w:hAnsi="宋体" w:eastAsia="楷体_GB2312" w:cs="楷体_GB2312"/>
          <w:b w:val="0"/>
          <w:bCs w:val="0"/>
          <w:snapToGrid w:val="0"/>
          <w:spacing w:val="0"/>
          <w:sz w:val="32"/>
          <w:szCs w:val="32"/>
          <w:lang w:eastAsia="zh-CN"/>
        </w:rPr>
        <w:t>。</w:t>
      </w:r>
      <w:r>
        <w:rPr>
          <w:rFonts w:hint="eastAsia" w:ascii="宋体" w:hAnsi="宋体" w:eastAsia="仿宋_GB2312" w:cs="仿宋_GB2312"/>
          <w:snapToGrid w:val="0"/>
          <w:spacing w:val="0"/>
          <w:sz w:val="32"/>
          <w:szCs w:val="32"/>
          <w:lang w:val="en-US" w:eastAsia="zh-CN"/>
        </w:rPr>
        <w:t>落实医疗机构安全生产承诺机制，全面推动卫生健康行政部门与医疗机构主要负责人签订安全生产责任状；根据《江西省安委会办公室关于江西省生产经营单位落实一线从业人员安全生产责任的指导意见》，推动各类医疗机构建立健全从主要负责人到一线岗位员工覆盖所有管理和操作岗位的安全生产责任制；明确岗位安全职责，医疗卫生机构与各科室签订安全生产责任状，与各科室工作人员签订安全生产承诺书；建立内部安全生产监督考核机制，推动各个岗位安全生产责任落实到位；督促从业人员严格履行自身岗位安全生产职责，了解事故应急处置措施等，提高安全生产意识和自救互救能力，确保安全不失控。</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（四）严格医疗机构安全准入机制。</w:t>
      </w:r>
      <w:r>
        <w:rPr>
          <w:rFonts w:hint="eastAsia" w:ascii="宋体" w:hAnsi="宋体" w:eastAsia="仿宋_GB2312" w:cs="仿宋_GB2312"/>
          <w:snapToGrid w:val="0"/>
          <w:spacing w:val="0"/>
          <w:sz w:val="32"/>
          <w:szCs w:val="32"/>
          <w:lang w:val="en-US" w:eastAsia="zh-CN"/>
        </w:rPr>
        <w:t>指导各医疗机构严格按照国家现行有关标准做好医疗机构规划、设计、施工和验收等工作，未经验收或验收不合格的建筑不得投入使用。严格按照国家和省对医疗机构基本标准要求进行审批；在医疗机构审批、校验等管理环节强化对床位、科室、人员、房屋和规章制度建设等方面内容的审核，不得审批同意不符合消防安全的医疗机构设置。不符合消防安全的医疗机构一律</w:t>
      </w:r>
      <w:bookmarkStart w:id="0" w:name="_GoBack"/>
      <w:bookmarkEnd w:id="0"/>
      <w:r>
        <w:rPr>
          <w:rFonts w:hint="eastAsia" w:ascii="宋体" w:hAnsi="宋体" w:eastAsia="仿宋_GB2312" w:cs="仿宋_GB2312"/>
          <w:snapToGrid w:val="0"/>
          <w:spacing w:val="0"/>
          <w:sz w:val="32"/>
          <w:szCs w:val="32"/>
          <w:lang w:val="en-US" w:eastAsia="zh-CN"/>
        </w:rPr>
        <w:t>不得投入使用。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autoSpaceDE/>
        <w:autoSpaceDN/>
        <w:bidi w:val="0"/>
        <w:adjustRightInd/>
        <w:snapToGrid/>
        <w:spacing w:before="0" w:beforeAutospacing="0" w:after="0" w:afterAutospacing="0" w:line="560" w:lineRule="exact"/>
        <w:ind w:left="0" w:right="0" w:firstLine="640" w:firstLineChars="200"/>
        <w:jc w:val="both"/>
        <w:textAlignment w:val="auto"/>
        <w:rPr>
          <w:rFonts w:hint="eastAsia" w:ascii="宋体" w:hAnsi="宋体" w:eastAsia="仿宋" w:cs="仿宋"/>
          <w:snapToGrid w:val="0"/>
          <w:spacing w:val="0"/>
          <w:sz w:val="32"/>
          <w:szCs w:val="32"/>
        </w:rPr>
      </w:pPr>
      <w:r>
        <w:rPr>
          <w:rFonts w:hint="eastAsia" w:ascii="宋体" w:hAnsi="宋体" w:eastAsia="楷体_GB2312" w:cs="楷体_GB2312"/>
          <w:b w:val="0"/>
          <w:bCs w:val="0"/>
          <w:snapToGrid w:val="0"/>
          <w:spacing w:val="0"/>
          <w:sz w:val="32"/>
          <w:szCs w:val="32"/>
          <w:lang w:eastAsia="zh-CN"/>
        </w:rPr>
        <w:t>（五）强化</w:t>
      </w:r>
      <w:r>
        <w:rPr>
          <w:rFonts w:hint="default" w:ascii="宋体" w:hAnsi="宋体" w:eastAsia="楷体_GB2312" w:cs="楷体_GB2312"/>
          <w:b w:val="0"/>
          <w:bCs w:val="0"/>
          <w:snapToGrid w:val="0"/>
          <w:spacing w:val="0"/>
          <w:sz w:val="32"/>
          <w:szCs w:val="32"/>
          <w:lang w:eastAsia="zh-CN"/>
        </w:rPr>
        <w:fldChar w:fldCharType="begin"/>
      </w:r>
      <w:r>
        <w:rPr>
          <w:rFonts w:hint="default" w:ascii="宋体" w:hAnsi="宋体" w:eastAsia="楷体_GB2312" w:cs="楷体_GB2312"/>
          <w:b w:val="0"/>
          <w:bCs w:val="0"/>
          <w:snapToGrid w:val="0"/>
          <w:spacing w:val="0"/>
          <w:sz w:val="32"/>
          <w:szCs w:val="32"/>
          <w:lang w:eastAsia="zh-CN"/>
        </w:rPr>
        <w:instrText xml:space="preserve"> HYPERLINK "http://www.baidu.com/link?url=nXdGZp5HoMfm6g57Mh9UmyM3VkMIIbmXrco-kpoKNYvbVLTKPPyyg79se-AtbOFmay0JKbDGgkDKecnm3dDgBq" \t "/home/user/文档\\x/_blank" </w:instrText>
      </w:r>
      <w:r>
        <w:rPr>
          <w:rFonts w:hint="default" w:ascii="宋体" w:hAnsi="宋体" w:eastAsia="楷体_GB2312" w:cs="楷体_GB2312"/>
          <w:b w:val="0"/>
          <w:bCs w:val="0"/>
          <w:snapToGrid w:val="0"/>
          <w:spacing w:val="0"/>
          <w:sz w:val="32"/>
          <w:szCs w:val="32"/>
          <w:lang w:eastAsia="zh-CN"/>
        </w:rPr>
        <w:fldChar w:fldCharType="separate"/>
      </w:r>
      <w:r>
        <w:rPr>
          <w:rFonts w:hint="default" w:ascii="宋体" w:hAnsi="宋体" w:eastAsia="楷体_GB2312" w:cs="楷体_GB2312"/>
          <w:b w:val="0"/>
          <w:bCs w:val="0"/>
          <w:snapToGrid w:val="0"/>
          <w:spacing w:val="0"/>
          <w:sz w:val="32"/>
          <w:szCs w:val="32"/>
          <w:lang w:eastAsia="zh-CN"/>
        </w:rPr>
        <w:t>安全生产责任落实</w:t>
      </w:r>
      <w:r>
        <w:rPr>
          <w:rFonts w:hint="eastAsia" w:ascii="宋体" w:hAnsi="宋体" w:eastAsia="楷体_GB2312" w:cs="楷体_GB2312"/>
          <w:b w:val="0"/>
          <w:bCs w:val="0"/>
          <w:snapToGrid w:val="0"/>
          <w:spacing w:val="0"/>
          <w:sz w:val="32"/>
          <w:szCs w:val="32"/>
          <w:lang w:eastAsia="zh-CN"/>
        </w:rPr>
        <w:t>督导检查</w:t>
      </w:r>
      <w:r>
        <w:rPr>
          <w:rFonts w:hint="default" w:ascii="宋体" w:hAnsi="宋体" w:eastAsia="楷体_GB2312" w:cs="楷体_GB2312"/>
          <w:b w:val="0"/>
          <w:bCs w:val="0"/>
          <w:snapToGrid w:val="0"/>
          <w:spacing w:val="0"/>
          <w:sz w:val="32"/>
          <w:szCs w:val="32"/>
          <w:lang w:eastAsia="zh-CN"/>
        </w:rPr>
        <w:fldChar w:fldCharType="end"/>
      </w:r>
      <w:r>
        <w:rPr>
          <w:rFonts w:hint="eastAsia" w:ascii="宋体" w:hAnsi="宋体" w:eastAsia="楷体_GB2312" w:cs="楷体_GB2312"/>
          <w:b w:val="0"/>
          <w:bCs w:val="0"/>
          <w:snapToGrid w:val="0"/>
          <w:spacing w:val="0"/>
          <w:sz w:val="32"/>
          <w:szCs w:val="32"/>
          <w:lang w:eastAsia="zh-CN"/>
        </w:rPr>
        <w:t>。</w:t>
      </w:r>
      <w:r>
        <w:rPr>
          <w:rFonts w:hint="default" w:eastAsia="仿宋_GB2312" w:cs="仿宋_GB2312"/>
          <w:b w:val="0"/>
          <w:snapToGrid w:val="0"/>
          <w:spacing w:val="0"/>
          <w:kern w:val="2"/>
          <w:sz w:val="32"/>
          <w:szCs w:val="32"/>
          <w:lang w:val="en" w:eastAsia="zh-CN" w:bidi="ar-SA"/>
        </w:rPr>
        <w:t>市、县</w:t>
      </w:r>
      <w:r>
        <w:rPr>
          <w:rFonts w:hint="eastAsia" w:ascii="宋体" w:hAnsi="宋体" w:eastAsia="仿宋_GB2312" w:cs="仿宋_GB2312"/>
          <w:b w:val="0"/>
          <w:snapToGrid w:val="0"/>
          <w:spacing w:val="0"/>
          <w:kern w:val="2"/>
          <w:sz w:val="32"/>
          <w:szCs w:val="32"/>
          <w:lang w:val="en-US" w:eastAsia="zh-CN" w:bidi="ar-SA"/>
        </w:rPr>
        <w:t>两级卫生健康行政部门按照“谁主管谁牵头、谁为主谁牵头、谁靠近谁牵头”原则，落实安全生产责任公示牌、强化日常监督帮扶，强力推动各内设机构将业务工作与安全生产同时安排部署、同时组织实施、同时监督检查，在医院等级评审、科研管理、“优质服务基层行”活动和社区医院建设、妇幼保健机构随机抽查、各级示范托育机构、医养结合示范项目等创建活动中落实安全生产要求，与相关达标评比或者绩效评价挂钩，推动各类机构全面落实安全生产责任。</w:t>
      </w:r>
    </w:p>
    <w:p>
      <w:pPr>
        <w:keepNext w:val="0"/>
        <w:keepLines w:val="0"/>
        <w:pageBreakBefore w:val="0"/>
        <w:widowControl w:val="0"/>
        <w:numPr>
          <w:ilvl w:val="0"/>
          <w:numId w:val="0"/>
        </w:numPr>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（六）持续深入开展安全隐患排查整治。</w:t>
      </w:r>
      <w:r>
        <w:rPr>
          <w:rFonts w:hint="default" w:ascii="宋体" w:hAnsi="宋体" w:eastAsia="仿宋_GB2312" w:cs="仿宋_GB2312"/>
          <w:b w:val="0"/>
          <w:bCs w:val="0"/>
          <w:snapToGrid w:val="0"/>
          <w:spacing w:val="0"/>
          <w:sz w:val="32"/>
          <w:szCs w:val="32"/>
          <w:lang w:val="en" w:eastAsia="zh-CN"/>
        </w:rPr>
        <w:t>市、县</w:t>
      </w:r>
      <w:r>
        <w:rPr>
          <w:rFonts w:hint="eastAsia" w:ascii="宋体" w:hAnsi="宋体" w:eastAsia="仿宋_GB2312" w:cs="仿宋_GB2312"/>
          <w:b w:val="0"/>
          <w:bCs w:val="0"/>
          <w:snapToGrid w:val="0"/>
          <w:spacing w:val="0"/>
          <w:sz w:val="32"/>
          <w:szCs w:val="32"/>
          <w:lang w:val="en-US" w:eastAsia="zh-CN"/>
        </w:rPr>
        <w:t>两级卫生健康行政部门要结合卫生健康系统实际，持续宣传解</w:t>
      </w:r>
      <w:r>
        <w:rPr>
          <w:rFonts w:hint="eastAsia" w:ascii="宋体" w:hAnsi="宋体" w:eastAsia="仿宋_GB2312" w:cs="仿宋_GB2312"/>
          <w:snapToGrid w:val="0"/>
          <w:spacing w:val="0"/>
          <w:sz w:val="32"/>
          <w:szCs w:val="32"/>
          <w:lang w:val="en-US" w:eastAsia="zh-CN"/>
        </w:rPr>
        <w:t>读重大事故隐患判定标准，规范重大事故隐患排查整治工作流程，提升工作质效。建立健全并严格落实常态化的事故隐患排查治理制度，每年通过交叉互查、监管部门督查、联合多部门执法检查或第三方检查等方式，至少开展一次全面的安全生产检查，医疗机构主要负责人要每季度带队对本单位重大事故隐患排查整治情况至少开展1次检查，要进行日常自查检查、定期专项检查等，逐级建立问题隐患台账。各级卫生健康行政部门要及时跟踪督促辖区内各类机构消除安全隐患，推动重大事故隐患动态清零。</w:t>
      </w:r>
    </w:p>
    <w:p>
      <w:pPr>
        <w:pStyle w:val="3"/>
        <w:keepNext w:val="0"/>
        <w:keepLines w:val="0"/>
        <w:pageBreakBefore w:val="0"/>
        <w:kinsoku/>
        <w:wordWrap/>
        <w:overflowPunct/>
        <w:topLinePunct/>
        <w:bidi w:val="0"/>
        <w:spacing w:line="560" w:lineRule="exact"/>
        <w:ind w:left="0" w:right="0" w:firstLine="620" w:firstLineChars="200"/>
        <w:jc w:val="both"/>
        <w:rPr>
          <w:rFonts w:hint="eastAsia" w:ascii="宋体" w:hAnsi="宋体" w:eastAsia="仿宋_GB2312" w:cs="仿宋_GB2312"/>
          <w:snapToGrid w:val="0"/>
          <w:spacing w:val="0"/>
          <w:kern w:val="2"/>
          <w:sz w:val="32"/>
          <w:szCs w:val="32"/>
          <w:lang w:val="en-US" w:eastAsia="zh-CN" w:bidi="ar-SA"/>
        </w:rPr>
      </w:pPr>
      <w:r>
        <w:rPr>
          <w:rFonts w:ascii="宋体" w:hAnsi="宋体" w:eastAsia="楷体" w:cs="楷体"/>
          <w:b w:val="0"/>
          <w:bCs w:val="0"/>
          <w:snapToGrid w:val="0"/>
          <w:spacing w:val="0"/>
          <w:sz w:val="31"/>
          <w:szCs w:val="31"/>
        </w:rPr>
        <w:t>(七)</w:t>
      </w:r>
      <w:r>
        <w:rPr>
          <w:rFonts w:hint="eastAsia" w:ascii="宋体" w:hAnsi="宋体" w:eastAsia="楷体" w:cs="楷体"/>
          <w:b w:val="0"/>
          <w:bCs w:val="0"/>
          <w:snapToGrid w:val="0"/>
          <w:spacing w:val="0"/>
          <w:sz w:val="31"/>
          <w:szCs w:val="31"/>
          <w:lang w:eastAsia="zh-CN"/>
        </w:rPr>
        <w:t>强化</w:t>
      </w:r>
      <w:r>
        <w:rPr>
          <w:rFonts w:hint="eastAsia" w:ascii="宋体" w:hAnsi="宋体" w:eastAsia="楷体" w:cs="楷体"/>
          <w:b w:val="0"/>
          <w:bCs w:val="0"/>
          <w:snapToGrid w:val="0"/>
          <w:spacing w:val="0"/>
          <w:sz w:val="31"/>
          <w:szCs w:val="31"/>
        </w:rPr>
        <w:t>安全风险</w:t>
      </w:r>
      <w:r>
        <w:rPr>
          <w:rFonts w:hint="eastAsia" w:ascii="宋体" w:hAnsi="宋体" w:eastAsia="楷体" w:cs="楷体"/>
          <w:b w:val="0"/>
          <w:bCs w:val="0"/>
          <w:snapToGrid w:val="0"/>
          <w:spacing w:val="0"/>
          <w:sz w:val="31"/>
          <w:szCs w:val="31"/>
          <w:lang w:eastAsia="zh-CN"/>
        </w:rPr>
        <w:t>辨识与</w:t>
      </w:r>
      <w:r>
        <w:rPr>
          <w:rFonts w:hint="eastAsia" w:ascii="宋体" w:hAnsi="宋体" w:eastAsia="楷体" w:cs="楷体"/>
          <w:b w:val="0"/>
          <w:bCs w:val="0"/>
          <w:snapToGrid w:val="0"/>
          <w:spacing w:val="0"/>
          <w:sz w:val="31"/>
          <w:szCs w:val="31"/>
        </w:rPr>
        <w:t>管控</w:t>
      </w:r>
      <w:r>
        <w:rPr>
          <w:rFonts w:hint="eastAsia" w:ascii="宋体" w:hAnsi="宋体" w:eastAsia="仿宋_GB2312" w:cs="仿宋_GB2312"/>
          <w:b w:val="0"/>
          <w:bCs w:val="0"/>
          <w:snapToGrid w:val="0"/>
          <w:spacing w:val="0"/>
          <w:kern w:val="2"/>
          <w:sz w:val="32"/>
          <w:szCs w:val="32"/>
          <w:lang w:val="en-US" w:eastAsia="zh-CN" w:bidi="ar-SA"/>
        </w:rPr>
        <w:t>。</w:t>
      </w:r>
      <w:r>
        <w:rPr>
          <w:rFonts w:hint="eastAsia" w:ascii="宋体" w:hAnsi="宋体" w:eastAsia="仿宋_GB2312" w:cs="仿宋_GB2312"/>
          <w:snapToGrid w:val="0"/>
          <w:spacing w:val="0"/>
          <w:kern w:val="2"/>
          <w:sz w:val="32"/>
          <w:szCs w:val="32"/>
          <w:lang w:val="en-US" w:eastAsia="zh-CN" w:bidi="ar-SA"/>
        </w:rPr>
        <w:t>一是建立安全风险辨识评估制度，持续完善双重预防机制建设。针对二级及以上医疗机构类型和特点，以预防事故为重点，制定科学规范的风险辨识评估制度，明确风险辨识程序和方法。对辨识出的安全风险进行分类和梳理，确定风险类别和等级(风险等级从高到低划分为重大风险、较大风险、一般风险和低风险四个等级，对应红、橙、黄、蓝四种颜色标识),制定《风险分析评估记录清单》,实现“一院一清单”。二是建立安全风险警示报告制度。二级及以上医疗机构要在醒目位置和重点区域分别设置安全风险公告栏，公布风险点、风险类别、重大危险源和管理措施。对存在安全生产风险的工作场所、岗位设置警示标志、告知卡，标明本场所、岗位主要危险危害因素、后果、事故预防及应急措施、报告电话等内容，对可能导致事故的工作场所、工作岗位，应设置报警装置，配置现场应急设备设施和撤离通道等，确保每名员工都能掌握安全风险的基本情况及防范、应急措施并纳入年度安全教育培训内容。三是推行二级及以上医疗机构安全生产相关责任人员佩章管理制度，按照双重预防机制“红、橙、黄、蓝”四色分布，明确安全监督、消防监控、安全巡查、治安执勤、疗区安全、控烟监督、交通管理等七类管理人员佩章上岗，以强化责任意识，营造安全管理氛围。</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 w:cs="仿宋"/>
          <w:snapToGrid w:val="0"/>
          <w:spacing w:val="0"/>
          <w:sz w:val="32"/>
          <w:szCs w:val="32"/>
        </w:rPr>
      </w:pPr>
      <w:r>
        <w:rPr>
          <w:rFonts w:hint="eastAsia" w:ascii="宋体" w:hAnsi="宋体" w:eastAsia="楷体_GB2312" w:cs="楷体_GB2312"/>
          <w:b w:val="0"/>
          <w:bCs w:val="0"/>
          <w:snapToGrid w:val="0"/>
          <w:spacing w:val="0"/>
          <w:sz w:val="32"/>
          <w:szCs w:val="32"/>
          <w:lang w:eastAsia="zh-CN"/>
        </w:rPr>
        <w:t>（八）强化部门联动工作合力。</w:t>
      </w:r>
      <w:r>
        <w:rPr>
          <w:rFonts w:hint="default" w:ascii="宋体" w:hAnsi="宋体" w:eastAsia="仿宋_GB2312" w:cs="仿宋_GB2312"/>
          <w:b w:val="0"/>
          <w:bCs w:val="0"/>
          <w:snapToGrid w:val="0"/>
          <w:spacing w:val="0"/>
          <w:sz w:val="32"/>
          <w:szCs w:val="32"/>
          <w:lang w:val="en" w:eastAsia="zh-CN"/>
        </w:rPr>
        <w:t>市、县</w:t>
      </w:r>
      <w:r>
        <w:rPr>
          <w:rFonts w:hint="eastAsia" w:ascii="宋体" w:hAnsi="宋体" w:eastAsia="仿宋_GB2312" w:cs="仿宋_GB2312"/>
          <w:b w:val="0"/>
          <w:bCs w:val="0"/>
          <w:snapToGrid w:val="0"/>
          <w:spacing w:val="0"/>
          <w:sz w:val="32"/>
          <w:szCs w:val="32"/>
          <w:lang w:val="en-US" w:eastAsia="zh-CN"/>
        </w:rPr>
        <w:t>两</w:t>
      </w:r>
      <w:r>
        <w:rPr>
          <w:rFonts w:hint="eastAsia" w:ascii="宋体" w:hAnsi="宋体" w:eastAsia="仿宋_GB2312" w:cs="仿宋_GB2312"/>
          <w:snapToGrid w:val="0"/>
          <w:spacing w:val="0"/>
          <w:sz w:val="32"/>
          <w:szCs w:val="32"/>
          <w:lang w:val="en-US" w:eastAsia="zh-CN"/>
        </w:rPr>
        <w:t>级卫生健康行政部门要加强建立与应急、消防、住房城乡建设、市场监管、民政、教育和生态环境等有关部门的协作机制，明确各自职责任务和联动模式，及时将发现的不属于本部门监管执法范围的安全问题隐患通报移交同级有关责任部门，确保消除监管盲区，形成治理重大事故隐患的工作合力。</w:t>
      </w:r>
    </w:p>
    <w:p>
      <w:pPr>
        <w:keepNext w:val="0"/>
        <w:keepLines w:val="0"/>
        <w:pageBreakBefore w:val="0"/>
        <w:widowControl w:val="0"/>
        <w:kinsoku/>
        <w:wordWrap/>
        <w:overflowPunct/>
        <w:topLinePunct/>
        <w:autoSpaceDE/>
        <w:autoSpaceDN/>
        <w:bidi w:val="0"/>
        <w:adjustRightInd w:val="0"/>
        <w:snapToGrid w:val="0"/>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（九）提升医疗应急救援能力。</w:t>
      </w:r>
      <w:r>
        <w:rPr>
          <w:rFonts w:hint="eastAsia" w:ascii="宋体" w:hAnsi="宋体" w:eastAsia="仿宋_GB2312" w:cs="仿宋_GB2312"/>
          <w:snapToGrid w:val="0"/>
          <w:spacing w:val="0"/>
          <w:sz w:val="32"/>
          <w:szCs w:val="32"/>
          <w:lang w:val="en-US" w:eastAsia="zh-CN"/>
        </w:rPr>
        <w:t>抓好《突发事件紧急医学救援“十四五”规划》任务落实，进一步完善市、县各级医疗应急队伍建设，增强快速反应能力，做好事故灾难医疗应急准备工作，切实满足安全生产应急救援需要。落实落细有关制度措施，切实加强监测预警和值班值守，确保生产安全事故、自然灾害发生时能够及时高效应对处置。</w:t>
      </w:r>
    </w:p>
    <w:p>
      <w:pPr>
        <w:pStyle w:val="3"/>
        <w:keepNext w:val="0"/>
        <w:keepLines w:val="0"/>
        <w:pageBreakBefore w:val="0"/>
        <w:widowControl w:val="0"/>
        <w:kinsoku/>
        <w:wordWrap/>
        <w:overflowPunct/>
        <w:topLinePunct/>
        <w:autoSpaceDE/>
        <w:autoSpaceDN/>
        <w:bidi w:val="0"/>
        <w:adjustRightInd w:val="0"/>
        <w:snapToGrid w:val="0"/>
        <w:spacing w:line="560" w:lineRule="exact"/>
        <w:ind w:left="0" w:right="0" w:firstLine="620" w:firstLineChars="200"/>
        <w:jc w:val="both"/>
        <w:textAlignment w:val="auto"/>
        <w:rPr>
          <w:rFonts w:hint="eastAsia" w:ascii="宋体" w:hAnsi="宋体" w:eastAsia="仿宋_GB2312" w:cs="仿宋_GB2312"/>
          <w:snapToGrid w:val="0"/>
          <w:spacing w:val="0"/>
          <w:kern w:val="2"/>
          <w:sz w:val="32"/>
          <w:szCs w:val="32"/>
          <w:lang w:val="en-US" w:eastAsia="zh-CN" w:bidi="ar-SA"/>
        </w:rPr>
      </w:pPr>
      <w:r>
        <w:rPr>
          <w:rFonts w:ascii="宋体" w:hAnsi="宋体" w:eastAsia="楷体" w:cs="楷体"/>
          <w:b w:val="0"/>
          <w:bCs w:val="0"/>
          <w:snapToGrid w:val="0"/>
          <w:spacing w:val="0"/>
          <w:sz w:val="31"/>
          <w:szCs w:val="31"/>
        </w:rPr>
        <w:t>(十)规范生产安全事故应急预案管理。</w:t>
      </w:r>
      <w:r>
        <w:rPr>
          <w:rFonts w:hint="eastAsia" w:ascii="宋体" w:hAnsi="宋体" w:eastAsia="仿宋_GB2312" w:cs="仿宋_GB2312"/>
          <w:snapToGrid w:val="0"/>
          <w:spacing w:val="0"/>
          <w:kern w:val="2"/>
          <w:sz w:val="32"/>
          <w:szCs w:val="32"/>
          <w:lang w:val="en-US" w:eastAsia="zh-CN" w:bidi="ar-SA"/>
        </w:rPr>
        <w:t>主要负责人负责组织编制和实施本单位的应急预案，并对应急预案的真实性和实用性负责，各分管负责人按照职责分工落实应急预案规定的职责。各单位应制定综合应急预案、专项应急预案和现场处置方案，并定期组织演练，事故风险单一、危险性小的单位，可以只编制现场处置方案。疗区、科室、食堂等单位内设机构也要制定现场应急处置方案，重点考虑夜间、节假日和服务群体特点，突出简洁、实用原则。全市二级以上医疗机构每年至少组织一次综合应急预案演练或者专项应急预案演练(其中必须包含1次疏散逃生演练),每半年至少开展一次经常性现场处置方案的演练，应急演练结束后应当对应急预案演练效果进行评估，撰写应急演练评估报告，分析存在的问题，并对应急预案提出修订意见。通过演练让全体从业人员熟知逃生通道、安全出口及应急处置要求，形成常态化机制。</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（十一）加强职业健康保护。</w:t>
      </w:r>
      <w:r>
        <w:rPr>
          <w:rFonts w:hint="eastAsia" w:ascii="宋体" w:hAnsi="宋体" w:eastAsia="仿宋_GB2312" w:cs="仿宋_GB2312"/>
          <w:snapToGrid w:val="0"/>
          <w:spacing w:val="0"/>
          <w:sz w:val="32"/>
          <w:szCs w:val="32"/>
          <w:lang w:val="en-US" w:eastAsia="zh-CN"/>
        </w:rPr>
        <w:t>结合全市职业病危害专项治理工作，以粉尘、化学毒物和噪声超标岗位治理为重点，改善工作场所劳动条件。加快建设职业病监测评估、职业病危害工程防护和职业病诊断救治相结合的职业病防治技术支撑体系，持续推进职业健康检查机构、职业病诊断机构和尘肺病康复站的能力建设和规范化管理，开展质量控制评估与抽查，持续提升服务能力和水平。组织参加省级职业卫生、放射卫生技术服务机构质量监测与检测能力比对工作，推进职业卫生、放射卫生技术服务机构依法规范执业，保障劳动者职业健康。</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黑体" w:cs="黑体"/>
          <w:snapToGrid w:val="0"/>
          <w:spacing w:val="0"/>
          <w:sz w:val="32"/>
          <w:szCs w:val="32"/>
        </w:rPr>
      </w:pPr>
      <w:r>
        <w:rPr>
          <w:rFonts w:hint="eastAsia" w:ascii="宋体" w:hAnsi="宋体" w:eastAsia="黑体" w:cs="黑体"/>
          <w:snapToGrid w:val="0"/>
          <w:spacing w:val="0"/>
          <w:sz w:val="32"/>
          <w:szCs w:val="32"/>
        </w:rPr>
        <w:t>三、保障措施</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 w:cs="仿宋"/>
          <w:snapToGrid w:val="0"/>
          <w:spacing w:val="0"/>
          <w:sz w:val="32"/>
          <w:szCs w:val="32"/>
        </w:rPr>
      </w:pPr>
      <w:r>
        <w:rPr>
          <w:rFonts w:hint="eastAsia" w:ascii="宋体" w:hAnsi="宋体" w:eastAsia="楷体_GB2312" w:cs="楷体_GB2312"/>
          <w:b w:val="0"/>
          <w:bCs w:val="0"/>
          <w:snapToGrid w:val="0"/>
          <w:spacing w:val="0"/>
          <w:sz w:val="32"/>
          <w:szCs w:val="32"/>
        </w:rPr>
        <w:t>（一）</w:t>
      </w:r>
      <w:r>
        <w:rPr>
          <w:rFonts w:hint="default" w:ascii="宋体" w:hAnsi="宋体" w:eastAsia="楷体_GB2312" w:cs="楷体_GB2312"/>
          <w:b w:val="0"/>
          <w:bCs w:val="0"/>
          <w:snapToGrid w:val="0"/>
          <w:spacing w:val="0"/>
          <w:sz w:val="32"/>
          <w:szCs w:val="32"/>
          <w:lang w:val="en"/>
        </w:rPr>
        <w:t>切实</w:t>
      </w:r>
      <w:r>
        <w:rPr>
          <w:rFonts w:hint="eastAsia" w:ascii="宋体" w:hAnsi="宋体" w:eastAsia="楷体_GB2312" w:cs="楷体_GB2312"/>
          <w:b w:val="0"/>
          <w:bCs w:val="0"/>
          <w:snapToGrid w:val="0"/>
          <w:spacing w:val="0"/>
          <w:sz w:val="32"/>
          <w:szCs w:val="32"/>
        </w:rPr>
        <w:t>加强组织领导。</w:t>
      </w:r>
      <w:r>
        <w:rPr>
          <w:rFonts w:hint="eastAsia" w:ascii="宋体" w:hAnsi="宋体" w:eastAsia="仿宋_GB2312" w:cs="仿宋_GB2312"/>
          <w:snapToGrid w:val="0"/>
          <w:spacing w:val="0"/>
          <w:sz w:val="32"/>
          <w:szCs w:val="32"/>
          <w:lang w:val="en-US" w:eastAsia="zh-CN"/>
        </w:rPr>
        <w:t>各地、各单位要高度重视安全生产治本攻坚三年行动，加强工作统筹，主要负责同志要亲自研究部署，定期听取有关情况汇报，其他负责同志按照“一岗双责”要求及时研究分管领域突出的安全隐患问题，并开展经常性督促指导和调研，切实抓好有关工作组织实施和任务落实落地。</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lang w:eastAsia="zh-CN"/>
        </w:rPr>
        <w:t>（二）落实安全</w:t>
      </w:r>
      <w:r>
        <w:rPr>
          <w:rFonts w:hint="default" w:ascii="宋体" w:hAnsi="宋体" w:eastAsia="楷体_GB2312" w:cs="楷体_GB2312"/>
          <w:b w:val="0"/>
          <w:bCs w:val="0"/>
          <w:snapToGrid w:val="0"/>
          <w:spacing w:val="0"/>
          <w:sz w:val="32"/>
          <w:szCs w:val="32"/>
          <w:lang w:val="en" w:eastAsia="zh-CN"/>
        </w:rPr>
        <w:t>生产</w:t>
      </w:r>
      <w:r>
        <w:rPr>
          <w:rFonts w:hint="eastAsia" w:ascii="宋体" w:hAnsi="宋体" w:eastAsia="楷体_GB2312" w:cs="楷体_GB2312"/>
          <w:b w:val="0"/>
          <w:bCs w:val="0"/>
          <w:snapToGrid w:val="0"/>
          <w:spacing w:val="0"/>
          <w:sz w:val="32"/>
          <w:szCs w:val="32"/>
          <w:lang w:eastAsia="zh-CN"/>
        </w:rPr>
        <w:t>责任。</w:t>
      </w:r>
      <w:r>
        <w:rPr>
          <w:rFonts w:hint="default" w:ascii="宋体" w:hAnsi="宋体" w:eastAsia="仿宋_GB2312" w:cs="仿宋_GB2312"/>
          <w:snapToGrid w:val="0"/>
          <w:spacing w:val="0"/>
          <w:sz w:val="32"/>
          <w:szCs w:val="32"/>
          <w:lang w:val="en" w:eastAsia="zh-CN"/>
        </w:rPr>
        <w:t>市、县</w:t>
      </w:r>
      <w:r>
        <w:rPr>
          <w:rFonts w:hint="eastAsia" w:ascii="宋体" w:hAnsi="宋体" w:eastAsia="仿宋_GB2312" w:cs="仿宋_GB2312"/>
          <w:snapToGrid w:val="0"/>
          <w:spacing w:val="0"/>
          <w:sz w:val="32"/>
          <w:szCs w:val="32"/>
          <w:lang w:val="en-US" w:eastAsia="zh-CN"/>
        </w:rPr>
        <w:t>两级卫生健康行政部门要坚持“党政同责、一岗双责、齐抓共管、失职追责”，全面贯彻落实《地方党政领导干部安全生产责任制规定》和江西省《实施细则》，健全完善安全生产约谈、督导、检查等工作制度，将治本攻坚三年行动工作落实情况纳入综合考核，压实党政领导责任。严格落实“三管三必须”要求，进一步理清部门职责，强化新风险新业态监管，开展安全生产检查和帮扶行动，推动部门监管责任落实。按照“全链条、全员、全过程安全管理”的要求，强化“五个一”活动，督促报送主体责任履职报告，推动医疗机构落实主体责任。</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rPr>
        <w:t>（</w:t>
      </w:r>
      <w:r>
        <w:rPr>
          <w:rFonts w:hint="eastAsia" w:ascii="宋体" w:hAnsi="宋体" w:eastAsia="楷体_GB2312" w:cs="楷体_GB2312"/>
          <w:b w:val="0"/>
          <w:bCs w:val="0"/>
          <w:snapToGrid w:val="0"/>
          <w:spacing w:val="0"/>
          <w:sz w:val="32"/>
          <w:szCs w:val="32"/>
          <w:lang w:eastAsia="zh-CN"/>
        </w:rPr>
        <w:t>三</w:t>
      </w:r>
      <w:r>
        <w:rPr>
          <w:rFonts w:hint="eastAsia" w:ascii="宋体" w:hAnsi="宋体" w:eastAsia="楷体_GB2312" w:cs="楷体_GB2312"/>
          <w:b w:val="0"/>
          <w:bCs w:val="0"/>
          <w:snapToGrid w:val="0"/>
          <w:spacing w:val="0"/>
          <w:sz w:val="32"/>
          <w:szCs w:val="32"/>
        </w:rPr>
        <w:t>）</w:t>
      </w:r>
      <w:r>
        <w:rPr>
          <w:rFonts w:hint="default" w:ascii="宋体" w:hAnsi="宋体" w:eastAsia="楷体_GB2312" w:cs="楷体_GB2312"/>
          <w:b w:val="0"/>
          <w:bCs w:val="0"/>
          <w:snapToGrid w:val="0"/>
          <w:spacing w:val="0"/>
          <w:sz w:val="32"/>
          <w:szCs w:val="32"/>
          <w:lang w:val="en"/>
        </w:rPr>
        <w:t>强化</w:t>
      </w:r>
      <w:r>
        <w:rPr>
          <w:rFonts w:hint="eastAsia" w:ascii="宋体" w:hAnsi="宋体" w:eastAsia="楷体_GB2312" w:cs="楷体_GB2312"/>
          <w:b w:val="0"/>
          <w:bCs w:val="0"/>
          <w:snapToGrid w:val="0"/>
          <w:spacing w:val="0"/>
          <w:sz w:val="32"/>
          <w:szCs w:val="32"/>
        </w:rPr>
        <w:t>安全投入</w:t>
      </w:r>
      <w:r>
        <w:rPr>
          <w:rFonts w:hint="default" w:ascii="宋体" w:hAnsi="宋体" w:eastAsia="楷体_GB2312" w:cs="楷体_GB2312"/>
          <w:b w:val="0"/>
          <w:bCs w:val="0"/>
          <w:snapToGrid w:val="0"/>
          <w:spacing w:val="0"/>
          <w:sz w:val="32"/>
          <w:szCs w:val="32"/>
          <w:lang w:val="en"/>
        </w:rPr>
        <w:t>保障</w:t>
      </w:r>
      <w:r>
        <w:rPr>
          <w:rFonts w:hint="eastAsia" w:ascii="宋体" w:hAnsi="宋体" w:eastAsia="楷体_GB2312" w:cs="楷体_GB2312"/>
          <w:b w:val="0"/>
          <w:bCs w:val="0"/>
          <w:snapToGrid w:val="0"/>
          <w:spacing w:val="0"/>
          <w:sz w:val="32"/>
          <w:szCs w:val="32"/>
        </w:rPr>
        <w:t>。</w:t>
      </w:r>
      <w:r>
        <w:rPr>
          <w:rFonts w:hint="default" w:ascii="宋体" w:hAnsi="宋体" w:eastAsia="仿宋_GB2312" w:cs="仿宋_GB2312"/>
          <w:snapToGrid w:val="0"/>
          <w:spacing w:val="0"/>
          <w:sz w:val="32"/>
          <w:szCs w:val="32"/>
          <w:lang w:val="en" w:eastAsia="zh-CN"/>
        </w:rPr>
        <w:t>市、县</w:t>
      </w:r>
      <w:r>
        <w:rPr>
          <w:rFonts w:hint="eastAsia" w:ascii="宋体" w:hAnsi="宋体" w:eastAsia="仿宋_GB2312" w:cs="仿宋_GB2312"/>
          <w:snapToGrid w:val="0"/>
          <w:spacing w:val="0"/>
          <w:sz w:val="32"/>
          <w:szCs w:val="32"/>
          <w:lang w:val="en-US" w:eastAsia="zh-CN"/>
        </w:rPr>
        <w:t>两级卫生健康行政部门和医疗机构要持续强化对安全生产工作的人力、物力和财力保障，明确负责安全生产管理的处室（科室），或承担相应职责的内设机构，配齐配优配强安全生产管理人员，确保具备与岗位职责相适应的安全生产知识和管理能力，并符合当前形势任务需要，切实提升管理科学化水平，落实安全生产基础建设和管理能力建设等必备经费，确保各类设备设施得到及时有效维护和更新，保持安全稳定运行。</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b w:val="0"/>
          <w:bCs w:val="0"/>
          <w:snapToGrid w:val="0"/>
          <w:spacing w:val="0"/>
          <w:sz w:val="32"/>
          <w:szCs w:val="32"/>
        </w:rPr>
        <w:t>（</w:t>
      </w:r>
      <w:r>
        <w:rPr>
          <w:rFonts w:hint="eastAsia" w:ascii="宋体" w:hAnsi="宋体" w:eastAsia="楷体_GB2312" w:cs="楷体_GB2312"/>
          <w:b w:val="0"/>
          <w:bCs w:val="0"/>
          <w:snapToGrid w:val="0"/>
          <w:spacing w:val="0"/>
          <w:sz w:val="32"/>
          <w:szCs w:val="32"/>
          <w:lang w:eastAsia="zh-CN"/>
        </w:rPr>
        <w:t>四</w:t>
      </w:r>
      <w:r>
        <w:rPr>
          <w:rFonts w:hint="eastAsia" w:ascii="宋体" w:hAnsi="宋体" w:eastAsia="楷体_GB2312" w:cs="楷体_GB2312"/>
          <w:b w:val="0"/>
          <w:bCs w:val="0"/>
          <w:snapToGrid w:val="0"/>
          <w:spacing w:val="0"/>
          <w:sz w:val="32"/>
          <w:szCs w:val="32"/>
        </w:rPr>
        <w:t>）开展</w:t>
      </w:r>
      <w:r>
        <w:rPr>
          <w:rFonts w:hint="eastAsia" w:ascii="宋体" w:hAnsi="宋体" w:eastAsia="楷体_GB2312" w:cs="楷体_GB2312"/>
          <w:b w:val="0"/>
          <w:bCs w:val="0"/>
          <w:snapToGrid w:val="0"/>
          <w:spacing w:val="0"/>
          <w:sz w:val="32"/>
          <w:szCs w:val="32"/>
          <w:lang w:eastAsia="zh-CN"/>
        </w:rPr>
        <w:t>安全</w:t>
      </w:r>
      <w:r>
        <w:rPr>
          <w:rFonts w:hint="eastAsia" w:ascii="宋体" w:hAnsi="宋体" w:eastAsia="楷体_GB2312" w:cs="楷体_GB2312"/>
          <w:b w:val="0"/>
          <w:bCs w:val="0"/>
          <w:snapToGrid w:val="0"/>
          <w:spacing w:val="0"/>
          <w:sz w:val="32"/>
          <w:szCs w:val="32"/>
        </w:rPr>
        <w:t>宣传教育。</w:t>
      </w:r>
      <w:r>
        <w:rPr>
          <w:rFonts w:hint="eastAsia" w:ascii="宋体" w:hAnsi="宋体" w:eastAsia="仿宋_GB2312" w:cs="仿宋_GB2312"/>
          <w:snapToGrid w:val="0"/>
          <w:spacing w:val="0"/>
          <w:sz w:val="32"/>
          <w:szCs w:val="32"/>
          <w:lang w:val="en-US" w:eastAsia="zh-CN"/>
        </w:rPr>
        <w:t>充分利用安全生产月、安全宣传咨询日、“119”消防宣传月等活动，进一步做实做细宣传活动，引导行业媒体发力，聚焦行业重点，加大医疗机构消防安全、施工安全、放射安全、危化品安全、生物安全等政策、知识宣传力度，切实提升全系统干部职工安全防范意识。发挥行业领域专业优势，广泛开展紧急医学救援知识和技能普及活动，大力提升全民安全意识和自救互救他救能力。丰富方式、拓宽渠道，深入挖掘并宣传典型经验做法，表扬先进，以点带面推动全省卫生健康系统安全生产工作水平全面提升。</w:t>
      </w:r>
    </w:p>
    <w:p>
      <w:pPr>
        <w:keepNext w:val="0"/>
        <w:keepLines w:val="0"/>
        <w:pageBreakBefore w:val="0"/>
        <w:kinsoku/>
        <w:wordWrap/>
        <w:overflowPunct/>
        <w:topLinePunct/>
        <w:bidi w:val="0"/>
        <w:spacing w:line="560" w:lineRule="exact"/>
        <w:ind w:left="0" w:right="0" w:firstLine="620" w:firstLineChars="200"/>
        <w:jc w:val="both"/>
        <w:outlineLvl w:val="0"/>
        <w:rPr>
          <w:rFonts w:hint="eastAsia" w:ascii="宋体" w:hAnsi="宋体" w:eastAsia="黑体" w:cs="黑体"/>
          <w:b w:val="0"/>
          <w:bCs w:val="0"/>
          <w:snapToGrid w:val="0"/>
          <w:spacing w:val="0"/>
          <w:sz w:val="31"/>
          <w:szCs w:val="31"/>
          <w:lang w:eastAsia="zh-CN"/>
        </w:rPr>
      </w:pPr>
      <w:r>
        <w:rPr>
          <w:rFonts w:ascii="宋体" w:hAnsi="宋体" w:eastAsia="黑体" w:cs="黑体"/>
          <w:b w:val="0"/>
          <w:bCs w:val="0"/>
          <w:snapToGrid w:val="0"/>
          <w:spacing w:val="0"/>
          <w:sz w:val="31"/>
          <w:szCs w:val="31"/>
        </w:rPr>
        <w:t>四、</w:t>
      </w:r>
      <w:r>
        <w:rPr>
          <w:rFonts w:hint="eastAsia" w:ascii="宋体" w:hAnsi="宋体" w:eastAsia="黑体" w:cs="黑体"/>
          <w:b w:val="0"/>
          <w:bCs w:val="0"/>
          <w:snapToGrid w:val="0"/>
          <w:spacing w:val="0"/>
          <w:sz w:val="31"/>
          <w:szCs w:val="31"/>
          <w:lang w:eastAsia="zh-CN"/>
        </w:rPr>
        <w:t>工作要求</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snapToGrid w:val="0"/>
          <w:spacing w:val="0"/>
          <w:sz w:val="32"/>
          <w:szCs w:val="32"/>
          <w:lang w:val="en-US" w:eastAsia="zh-CN"/>
        </w:rPr>
        <w:t>(一)认真部署谋划。</w:t>
      </w:r>
      <w:r>
        <w:rPr>
          <w:rFonts w:hint="eastAsia" w:ascii="宋体" w:hAnsi="宋体" w:eastAsia="仿宋_GB2312" w:cs="仿宋_GB2312"/>
          <w:snapToGrid w:val="0"/>
          <w:color w:val="auto"/>
          <w:spacing w:val="0"/>
          <w:kern w:val="2"/>
          <w:sz w:val="32"/>
          <w:szCs w:val="32"/>
          <w:u w:val="none"/>
          <w:shd w:val="clear" w:color="auto" w:fill="auto"/>
          <w:lang w:val="en-US" w:eastAsia="zh-CN" w:bidi="ar-SA"/>
        </w:rPr>
        <w:t>各地、各单位切实履行安全生产责任</w:t>
      </w:r>
      <w:r>
        <w:rPr>
          <w:rFonts w:hint="eastAsia" w:ascii="宋体" w:hAnsi="宋体" w:eastAsia="仿宋_GB2312" w:cs="仿宋_GB2312"/>
          <w:snapToGrid w:val="0"/>
          <w:spacing w:val="0"/>
          <w:sz w:val="32"/>
          <w:szCs w:val="32"/>
          <w:lang w:val="en-US" w:eastAsia="zh-CN"/>
        </w:rPr>
        <w:t>，制定本地、本单位《</w:t>
      </w:r>
      <w:r>
        <w:rPr>
          <w:rFonts w:hint="default" w:ascii="宋体" w:hAnsi="宋体" w:eastAsia="仿宋_GB2312" w:cs="仿宋_GB2312"/>
          <w:snapToGrid w:val="0"/>
          <w:spacing w:val="0"/>
          <w:sz w:val="32"/>
          <w:szCs w:val="32"/>
          <w:lang w:val="en" w:eastAsia="zh-CN"/>
        </w:rPr>
        <w:t>安全生产治本攻坚三年行动方案</w:t>
      </w:r>
      <w:r>
        <w:rPr>
          <w:rFonts w:hint="eastAsia" w:ascii="宋体" w:hAnsi="宋体" w:eastAsia="仿宋_GB2312" w:cs="仿宋_GB2312"/>
          <w:snapToGrid w:val="0"/>
          <w:spacing w:val="0"/>
          <w:sz w:val="32"/>
          <w:szCs w:val="32"/>
          <w:lang w:val="en-US" w:eastAsia="zh-CN"/>
        </w:rPr>
        <w:t>》，主要负责同志要亲自部署、亲自谋划，全面</w:t>
      </w:r>
      <w:r>
        <w:rPr>
          <w:rFonts w:hint="eastAsia" w:ascii="宋体" w:hAnsi="宋体" w:eastAsia="仿宋_GB2312" w:cs="仿宋_GB2312"/>
          <w:snapToGrid w:val="0"/>
          <w:color w:val="auto"/>
          <w:spacing w:val="0"/>
          <w:kern w:val="2"/>
          <w:sz w:val="32"/>
          <w:szCs w:val="32"/>
          <w:u w:val="none"/>
          <w:shd w:val="clear" w:color="auto" w:fill="auto"/>
          <w:lang w:val="en-US" w:eastAsia="zh-CN" w:bidi="ar-SA"/>
        </w:rPr>
        <w:t>完成动员部署，</w:t>
      </w:r>
      <w:r>
        <w:rPr>
          <w:rFonts w:hint="eastAsia" w:ascii="宋体" w:hAnsi="宋体" w:eastAsia="仿宋_GB2312" w:cs="仿宋_GB2312"/>
          <w:snapToGrid w:val="0"/>
          <w:spacing w:val="0"/>
          <w:sz w:val="32"/>
          <w:szCs w:val="32"/>
          <w:lang w:val="en-US" w:eastAsia="zh-CN"/>
        </w:rPr>
        <w:t>要</w:t>
      </w:r>
      <w:r>
        <w:rPr>
          <w:rFonts w:hint="eastAsia" w:ascii="宋体" w:hAnsi="宋体" w:eastAsia="仿宋_GB2312" w:cs="仿宋_GB2312"/>
          <w:snapToGrid w:val="0"/>
          <w:color w:val="auto"/>
          <w:spacing w:val="0"/>
          <w:kern w:val="2"/>
          <w:sz w:val="32"/>
          <w:szCs w:val="32"/>
          <w:u w:val="none"/>
          <w:shd w:val="clear" w:color="auto" w:fill="auto"/>
          <w:lang w:val="en-US" w:eastAsia="zh-CN" w:bidi="ar-SA"/>
        </w:rPr>
        <w:t>明确责任分工，</w:t>
      </w:r>
      <w:r>
        <w:rPr>
          <w:rFonts w:hint="eastAsia" w:ascii="宋体" w:hAnsi="宋体" w:eastAsia="仿宋_GB2312" w:cs="仿宋_GB2312"/>
          <w:snapToGrid w:val="0"/>
          <w:spacing w:val="0"/>
          <w:sz w:val="32"/>
          <w:szCs w:val="32"/>
          <w:lang w:val="en-US" w:eastAsia="zh-CN"/>
        </w:rPr>
        <w:t>定期调度工作进展情况，特殊情况下随时调度，及时落实各项工作要求。</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both"/>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snapToGrid w:val="0"/>
          <w:spacing w:val="0"/>
          <w:sz w:val="32"/>
          <w:szCs w:val="32"/>
          <w:lang w:val="en-US" w:eastAsia="zh-CN"/>
        </w:rPr>
        <w:t>(二)强化督导检查。</w:t>
      </w:r>
      <w:r>
        <w:rPr>
          <w:rFonts w:hint="eastAsia" w:ascii="宋体" w:hAnsi="宋体" w:eastAsia="仿宋_GB2312" w:cs="仿宋_GB2312"/>
          <w:snapToGrid w:val="0"/>
          <w:spacing w:val="0"/>
          <w:sz w:val="32"/>
          <w:szCs w:val="32"/>
          <w:lang w:val="en" w:eastAsia="zh-CN"/>
        </w:rPr>
        <w:t>各地</w:t>
      </w:r>
      <w:r>
        <w:rPr>
          <w:rFonts w:hint="eastAsia" w:ascii="宋体" w:hAnsi="宋体" w:eastAsia="仿宋_GB2312" w:cs="仿宋_GB2312"/>
          <w:snapToGrid w:val="0"/>
          <w:spacing w:val="0"/>
          <w:sz w:val="32"/>
          <w:szCs w:val="32"/>
          <w:lang w:val="en-US" w:eastAsia="zh-CN"/>
        </w:rPr>
        <w:t>卫生健康行政部门每半年至少开展1次实地专项督导检查，重点查看各地、各单位工作实际落实情况，查找突出问题，深挖问题根源，及时将督导情况进行通报，督促问题整改，适时开展“回头看”。</w:t>
      </w:r>
    </w:p>
    <w:p>
      <w:pPr>
        <w:keepNext w:val="0"/>
        <w:keepLines w:val="0"/>
        <w:pageBreakBefore w:val="0"/>
        <w:widowControl w:val="0"/>
        <w:kinsoku/>
        <w:wordWrap/>
        <w:overflowPunct/>
        <w:topLinePunct/>
        <w:autoSpaceDE/>
        <w:autoSpaceDN/>
        <w:bidi w:val="0"/>
        <w:adjustRightInd/>
        <w:snapToGrid/>
        <w:spacing w:line="560" w:lineRule="exact"/>
        <w:ind w:left="0" w:right="0" w:firstLine="640" w:firstLineChars="200"/>
        <w:jc w:val="left"/>
        <w:textAlignment w:val="auto"/>
        <w:rPr>
          <w:rFonts w:hint="eastAsia" w:ascii="宋体" w:hAnsi="宋体" w:eastAsia="仿宋_GB2312" w:cs="仿宋_GB2312"/>
          <w:snapToGrid w:val="0"/>
          <w:spacing w:val="0"/>
          <w:sz w:val="32"/>
          <w:szCs w:val="32"/>
          <w:lang w:val="en-US" w:eastAsia="zh-CN"/>
        </w:rPr>
      </w:pPr>
      <w:r>
        <w:rPr>
          <w:rFonts w:hint="eastAsia" w:ascii="宋体" w:hAnsi="宋体" w:eastAsia="楷体_GB2312" w:cs="楷体_GB2312"/>
          <w:snapToGrid w:val="0"/>
          <w:spacing w:val="0"/>
          <w:sz w:val="32"/>
          <w:szCs w:val="32"/>
          <w:lang w:val="en-US" w:eastAsia="zh-CN"/>
        </w:rPr>
        <w:t>(三)加强信息报送。</w:t>
      </w:r>
      <w:r>
        <w:rPr>
          <w:rFonts w:hint="eastAsia" w:ascii="宋体" w:hAnsi="宋体" w:eastAsia="仿宋_GB2312" w:cs="仿宋_GB2312"/>
          <w:snapToGrid w:val="0"/>
          <w:spacing w:val="0"/>
          <w:sz w:val="32"/>
          <w:szCs w:val="32"/>
          <w:lang w:val="en-US" w:eastAsia="zh-CN"/>
        </w:rPr>
        <w:t>各地、各单位每半年要对治本攻坚三年行动工作情况进行总结，系统梳理总结阶段性工作完成情况、典型经验做法，对存在的问题进行通报，明确指出工作中存在的差距和不足，督促问题整改。请各地、各单位于每年6月15日、12月15日前报送工作总结。联系人：郭云，联系电话：0797-8169024，邮箱：</w:t>
      </w:r>
      <w:r>
        <w:rPr>
          <w:rFonts w:hint="eastAsia" w:ascii="宋体" w:hAnsi="宋体" w:eastAsia="仿宋_GB2312" w:cs="仿宋_GB2312"/>
          <w:snapToGrid w:val="0"/>
          <w:spacing w:val="0"/>
          <w:sz w:val="32"/>
          <w:szCs w:val="32"/>
          <w:lang w:val="en-US" w:eastAsia="zh-CN"/>
        </w:rPr>
        <w:fldChar w:fldCharType="begin"/>
      </w:r>
      <w:r>
        <w:rPr>
          <w:rFonts w:hint="eastAsia" w:ascii="宋体" w:hAnsi="宋体" w:eastAsia="仿宋_GB2312" w:cs="仿宋_GB2312"/>
          <w:snapToGrid w:val="0"/>
          <w:spacing w:val="0"/>
          <w:sz w:val="32"/>
          <w:szCs w:val="32"/>
          <w:lang w:val="en-US" w:eastAsia="zh-CN"/>
        </w:rPr>
        <w:instrText xml:space="preserve"> HYPERLINK "mailto:gzwsjfjk@126.com。" </w:instrText>
      </w:r>
      <w:r>
        <w:rPr>
          <w:rFonts w:hint="eastAsia" w:ascii="宋体" w:hAnsi="宋体" w:eastAsia="仿宋_GB2312" w:cs="仿宋_GB2312"/>
          <w:snapToGrid w:val="0"/>
          <w:spacing w:val="0"/>
          <w:sz w:val="32"/>
          <w:szCs w:val="32"/>
          <w:lang w:val="en-US" w:eastAsia="zh-CN"/>
        </w:rPr>
        <w:fldChar w:fldCharType="separate"/>
      </w:r>
      <w:r>
        <w:rPr>
          <w:rFonts w:hint="eastAsia" w:ascii="宋体" w:hAnsi="宋体" w:eastAsia="仿宋_GB2312" w:cs="仿宋_GB2312"/>
          <w:snapToGrid w:val="0"/>
          <w:spacing w:val="0"/>
          <w:sz w:val="32"/>
          <w:szCs w:val="32"/>
          <w:lang w:val="en-US" w:eastAsia="zh-CN"/>
        </w:rPr>
        <w:t>gzwsjfjk@126.com。</w:t>
      </w:r>
      <w:r>
        <w:rPr>
          <w:rFonts w:hint="eastAsia" w:ascii="宋体" w:hAnsi="宋体" w:eastAsia="仿宋_GB2312" w:cs="仿宋_GB2312"/>
          <w:snapToGrid w:val="0"/>
          <w:spacing w:val="0"/>
          <w:sz w:val="32"/>
          <w:szCs w:val="32"/>
          <w:lang w:val="en-US" w:eastAsia="zh-CN"/>
        </w:rPr>
        <w:fldChar w:fldCharType="end"/>
      </w:r>
    </w:p>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altName w:val="宋体-PUA"/>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宋体-PUA"/>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 w:name="Nimbus Roman No9 L">
    <w:panose1 w:val="00000000000000000000"/>
    <w:charset w:val="00"/>
    <w:family w:val="auto"/>
    <w:pitch w:val="default"/>
    <w:sig w:usb0="00000000" w:usb1="00000000" w:usb2="00000000" w:usb3="00000000" w:csb0="00000000" w:csb1="00000000"/>
  </w:font>
  <w:font w:name="宋体-PUA">
    <w:panose1 w:val="02010600030101010101"/>
    <w:charset w:val="86"/>
    <w:family w:val="auto"/>
    <w:pitch w:val="default"/>
    <w:sig w:usb0="00000000" w:usb1="10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250C417B"/>
    <w:rsid w:val="250C417B"/>
    <w:rsid w:val="2F5B2761"/>
    <w:rsid w:val="9DDC209D"/>
    <w:rsid w:val="FEDF9E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仿宋" w:hAnsi="仿宋" w:eastAsia="仿宋" w:cs="仿宋"/>
      <w:sz w:val="32"/>
      <w:szCs w:val="32"/>
      <w:lang w:val="en-US" w:eastAsia="en-US"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5135</Words>
  <Characters>5202</Characters>
  <Lines>0</Lines>
  <Paragraphs>0</Paragraphs>
  <TotalTime>6</TotalTime>
  <ScaleCrop>false</ScaleCrop>
  <LinksUpToDate>false</LinksUpToDate>
  <CharactersWithSpaces>5202</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2024-05-24T16:39:00Z</dcterms:created>
  <dc:creator>毛书娟</dc:creator>
  <cp:lastModifiedBy>user</cp:lastModifiedBy>
  <dcterms:modified xsi:type="dcterms:W3CDTF">2024-07-05T16:42:07Z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ICV">
    <vt:lpwstr>82464F3C8A8F4293AAE43D71C7A881FB_11</vt:lpwstr>
  </property>
</Properties>
</file>