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宋体" w:hAnsi="宋体" w:eastAsia="宋体" w:cs="宋体"/>
          <w:b/>
          <w:i w:val="0"/>
          <w:caps w:val="0"/>
          <w:color w:val="333333"/>
          <w:spacing w:val="0"/>
          <w:sz w:val="44"/>
          <w:szCs w:val="44"/>
          <w:shd w:val="clear" w:fill="FFFFFF"/>
        </w:rPr>
      </w:pPr>
      <w:r>
        <w:rPr>
          <w:rFonts w:hint="eastAsia" w:ascii="宋体" w:hAnsi="宋体" w:eastAsia="宋体" w:cs="宋体"/>
          <w:b/>
          <w:i w:val="0"/>
          <w:caps w:val="0"/>
          <w:color w:val="333333"/>
          <w:spacing w:val="0"/>
          <w:sz w:val="44"/>
          <w:szCs w:val="44"/>
          <w:shd w:val="clear" w:fill="FFFFFF"/>
          <w:lang w:eastAsia="zh-CN"/>
        </w:rPr>
        <w:t>市自然资源局</w:t>
      </w:r>
      <w:r>
        <w:rPr>
          <w:rFonts w:hint="eastAsia" w:ascii="宋体" w:hAnsi="宋体" w:eastAsia="宋体" w:cs="宋体"/>
          <w:b/>
          <w:i w:val="0"/>
          <w:caps w:val="0"/>
          <w:color w:val="333333"/>
          <w:spacing w:val="0"/>
          <w:sz w:val="44"/>
          <w:szCs w:val="44"/>
          <w:shd w:val="clear" w:fill="FFFFFF"/>
          <w:lang w:val="en-US" w:eastAsia="zh-CN"/>
        </w:rPr>
        <w:t>2020年</w:t>
      </w:r>
      <w:r>
        <w:rPr>
          <w:rFonts w:hint="eastAsia" w:ascii="宋体" w:hAnsi="宋体" w:eastAsia="宋体" w:cs="宋体"/>
          <w:b/>
          <w:i w:val="0"/>
          <w:caps w:val="0"/>
          <w:color w:val="333333"/>
          <w:spacing w:val="0"/>
          <w:sz w:val="44"/>
          <w:szCs w:val="44"/>
          <w:shd w:val="clear" w:fill="FFFFFF"/>
        </w:rPr>
        <w:t>政府信息公开工作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宋体" w:hAnsi="宋体" w:eastAsia="宋体" w:cs="宋体"/>
          <w:b/>
          <w:i w:val="0"/>
          <w:caps w:val="0"/>
          <w:color w:val="333333"/>
          <w:spacing w:val="0"/>
          <w:sz w:val="44"/>
          <w:szCs w:val="44"/>
          <w:shd w:val="clear" w:fill="FFFFFF"/>
        </w:rPr>
      </w:pPr>
      <w:r>
        <w:rPr>
          <w:rFonts w:hint="eastAsia" w:ascii="宋体" w:hAnsi="宋体" w:eastAsia="宋体" w:cs="宋体"/>
          <w:b/>
          <w:i w:val="0"/>
          <w:caps w:val="0"/>
          <w:color w:val="333333"/>
          <w:spacing w:val="0"/>
          <w:sz w:val="44"/>
          <w:szCs w:val="44"/>
          <w:shd w:val="clear" w:fill="FFFFFF"/>
        </w:rPr>
        <w:t>年度报告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宋体" w:hAnsi="宋体" w:eastAsia="宋体" w:cs="宋体"/>
          <w:i w:val="0"/>
          <w:caps w:val="0"/>
          <w:color w:val="333333"/>
          <w:spacing w:val="0"/>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eastAsia="仿宋_GB2312"/>
          <w:kern w:val="2"/>
          <w:sz w:val="32"/>
          <w:szCs w:val="32"/>
        </w:rPr>
      </w:pPr>
      <w:r>
        <w:rPr>
          <w:rFonts w:hint="eastAsia" w:eastAsia="仿宋_GB2312"/>
          <w:kern w:val="2"/>
          <w:sz w:val="32"/>
          <w:szCs w:val="32"/>
        </w:rPr>
        <w:t>本报告依据《中华人民共和国政府信息公开条例》（国务院令第711号，以下简称新《条例》）和《国务院办公厅政府信息与政务公开办公室关于政府信息公开工作年度报告有关事项的通知》（国办公开办函〔2019〕60号）要求，由</w:t>
      </w:r>
      <w:r>
        <w:rPr>
          <w:rFonts w:hint="eastAsia" w:eastAsia="仿宋_GB2312"/>
          <w:kern w:val="2"/>
          <w:sz w:val="32"/>
          <w:szCs w:val="32"/>
          <w:lang w:val="en-US" w:eastAsia="zh-CN"/>
        </w:rPr>
        <w:t>市自然资源局</w:t>
      </w:r>
      <w:r>
        <w:rPr>
          <w:rFonts w:hint="eastAsia" w:eastAsia="仿宋_GB2312"/>
          <w:kern w:val="2"/>
          <w:sz w:val="32"/>
          <w:szCs w:val="32"/>
        </w:rPr>
        <w:t>结合有关统计数据编制。本年度报告中所列数据的统计期限自</w:t>
      </w:r>
      <w:r>
        <w:rPr>
          <w:rFonts w:hint="eastAsia" w:eastAsia="仿宋_GB2312"/>
          <w:kern w:val="2"/>
          <w:sz w:val="32"/>
          <w:szCs w:val="32"/>
          <w:lang w:val="en-US" w:eastAsia="zh-CN"/>
        </w:rPr>
        <w:t>2020</w:t>
      </w:r>
      <w:r>
        <w:rPr>
          <w:rFonts w:hint="eastAsia" w:eastAsia="仿宋_GB2312"/>
          <w:kern w:val="2"/>
          <w:sz w:val="32"/>
          <w:szCs w:val="32"/>
        </w:rPr>
        <w:t>年1月1日起至</w:t>
      </w:r>
      <w:r>
        <w:rPr>
          <w:rFonts w:hint="eastAsia" w:eastAsia="仿宋_GB2312"/>
          <w:kern w:val="2"/>
          <w:sz w:val="32"/>
          <w:szCs w:val="32"/>
          <w:lang w:val="en-US" w:eastAsia="zh-CN"/>
        </w:rPr>
        <w:t>2020</w:t>
      </w:r>
      <w:r>
        <w:rPr>
          <w:rFonts w:hint="eastAsia" w:eastAsia="仿宋_GB2312"/>
          <w:kern w:val="2"/>
          <w:sz w:val="32"/>
          <w:szCs w:val="32"/>
        </w:rPr>
        <w:t>年12月31日止。全文包括总体情况、主动公开政府信息情况、收到和处理政府信息公开申请情况、政府信息公开行政复议行政诉讼</w:t>
      </w:r>
      <w:r>
        <w:rPr>
          <w:rFonts w:hint="eastAsia" w:eastAsia="仿宋_GB2312"/>
          <w:kern w:val="2"/>
          <w:sz w:val="32"/>
          <w:szCs w:val="32"/>
          <w:lang w:val="en-US" w:eastAsia="zh-CN"/>
        </w:rPr>
        <w:t>情况、存在的主要问题及改进情况、其他需要报告的事项。本年度报告的电子版可以从赣州市自然资源局官网（http://bnr.ganzhou.gov.cn/）下载。如对本</w:t>
      </w:r>
      <w:r>
        <w:rPr>
          <w:rFonts w:hint="eastAsia" w:eastAsia="仿宋_GB2312"/>
          <w:kern w:val="2"/>
          <w:sz w:val="32"/>
          <w:szCs w:val="32"/>
        </w:rPr>
        <w:t>报告有任何疑问，请与</w:t>
      </w:r>
      <w:r>
        <w:rPr>
          <w:rFonts w:hint="eastAsia" w:eastAsia="仿宋_GB2312"/>
          <w:kern w:val="2"/>
          <w:sz w:val="32"/>
          <w:szCs w:val="32"/>
          <w:lang w:val="en-US" w:eastAsia="zh-CN"/>
        </w:rPr>
        <w:t>市自然资源局办公室</w:t>
      </w:r>
      <w:r>
        <w:rPr>
          <w:rFonts w:hint="eastAsia" w:eastAsia="仿宋_GB2312"/>
          <w:kern w:val="2"/>
          <w:sz w:val="32"/>
          <w:szCs w:val="32"/>
        </w:rPr>
        <w:t>联系（地址：</w:t>
      </w:r>
      <w:r>
        <w:rPr>
          <w:rFonts w:hint="eastAsia" w:eastAsia="仿宋_GB2312"/>
          <w:kern w:val="2"/>
          <w:sz w:val="32"/>
          <w:szCs w:val="32"/>
          <w:lang w:val="en-US" w:eastAsia="zh-CN"/>
        </w:rPr>
        <w:t>赣州市长征大道22号</w:t>
      </w:r>
      <w:r>
        <w:rPr>
          <w:rFonts w:hint="eastAsia" w:eastAsia="仿宋_GB2312"/>
          <w:kern w:val="2"/>
          <w:sz w:val="32"/>
          <w:szCs w:val="32"/>
        </w:rPr>
        <w:t>，电话：</w:t>
      </w:r>
      <w:r>
        <w:rPr>
          <w:rFonts w:hint="eastAsia" w:eastAsia="仿宋_GB2312"/>
          <w:kern w:val="2"/>
          <w:sz w:val="32"/>
          <w:szCs w:val="32"/>
          <w:lang w:val="en-US" w:eastAsia="zh-CN"/>
        </w:rPr>
        <w:t>8155012</w:t>
      </w:r>
      <w:r>
        <w:rPr>
          <w:rFonts w:hint="eastAsia" w:eastAsia="仿宋_GB2312"/>
          <w:kern w:val="2"/>
          <w:sz w:val="32"/>
          <w:szCs w:val="32"/>
        </w:rPr>
        <w:t>，邮编：</w:t>
      </w:r>
      <w:r>
        <w:rPr>
          <w:rFonts w:hint="eastAsia" w:eastAsia="仿宋_GB2312"/>
          <w:kern w:val="2"/>
          <w:sz w:val="32"/>
          <w:szCs w:val="32"/>
          <w:lang w:val="en-US" w:eastAsia="zh-CN"/>
        </w:rPr>
        <w:t>341000</w:t>
      </w:r>
      <w:r>
        <w:rPr>
          <w:rFonts w:hint="eastAsia" w:eastAsia="仿宋_GB2312"/>
          <w:kern w:val="2"/>
          <w:sz w:val="32"/>
          <w:szCs w:val="32"/>
        </w:rPr>
        <w:t>）。</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bCs/>
          <w:color w:val="auto"/>
          <w:sz w:val="32"/>
          <w:szCs w:val="32"/>
          <w:shd w:val="clear" w:color="auto" w:fill="FFFFFF"/>
        </w:rPr>
      </w:pPr>
      <w:r>
        <w:rPr>
          <w:rFonts w:hint="eastAsia" w:ascii="黑体" w:hAnsi="黑体" w:eastAsia="黑体" w:cs="黑体"/>
          <w:bCs/>
          <w:color w:val="auto"/>
          <w:sz w:val="32"/>
          <w:szCs w:val="32"/>
          <w:shd w:val="clear" w:color="auto" w:fill="FFFFFF"/>
          <w:lang w:val="en-US" w:eastAsia="zh-CN"/>
        </w:rPr>
        <w:t>一、</w:t>
      </w:r>
      <w:r>
        <w:rPr>
          <w:rFonts w:hint="eastAsia" w:ascii="黑体" w:hAnsi="黑体" w:eastAsia="黑体" w:cs="黑体"/>
          <w:bCs/>
          <w:color w:val="auto"/>
          <w:sz w:val="32"/>
          <w:szCs w:val="32"/>
          <w:shd w:val="clear" w:color="auto" w:fill="FFFFFF"/>
        </w:rPr>
        <w:t>总体情况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eastAsia="仿宋_GB2312"/>
          <w:kern w:val="2"/>
          <w:sz w:val="32"/>
          <w:szCs w:val="32"/>
          <w:lang w:val="en-US" w:eastAsia="zh-CN"/>
        </w:rPr>
      </w:pPr>
      <w:r>
        <w:rPr>
          <w:rFonts w:hint="eastAsia" w:eastAsia="仿宋_GB2312"/>
          <w:kern w:val="2"/>
          <w:sz w:val="32"/>
          <w:szCs w:val="32"/>
          <w:lang w:val="en-US" w:eastAsia="zh-CN"/>
        </w:rPr>
        <w:t>2020年赣州市自然资源局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同时紧紧围绕省委、省政府中心工作及社会群众关注关切，着力提升政府信息公开质量，推进拓宽政府信息公开渠道，不断增强政府信息公开实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2" w:firstLineChars="200"/>
        <w:jc w:val="both"/>
        <w:textAlignment w:val="auto"/>
        <w:rPr>
          <w:rFonts w:hint="eastAsia" w:eastAsia="仿宋_GB2312"/>
          <w:kern w:val="2"/>
          <w:sz w:val="32"/>
          <w:szCs w:val="32"/>
          <w:lang w:val="en-US" w:eastAsia="zh-CN"/>
        </w:rPr>
      </w:pPr>
      <w:r>
        <w:rPr>
          <w:rFonts w:hint="eastAsia" w:ascii="楷体_GB2312" w:hAnsi="楷体_GB2312" w:eastAsia="楷体_GB2312" w:cs="楷体_GB2312"/>
          <w:b/>
          <w:bCs/>
          <w:i w:val="0"/>
          <w:caps w:val="0"/>
          <w:color w:val="auto"/>
          <w:spacing w:val="0"/>
          <w:sz w:val="30"/>
          <w:szCs w:val="30"/>
          <w:shd w:val="clear" w:fill="FFFFFF"/>
          <w:lang w:eastAsia="zh-CN"/>
        </w:rPr>
        <w:t>（</w:t>
      </w:r>
      <w:r>
        <w:rPr>
          <w:rFonts w:hint="eastAsia" w:ascii="楷体_GB2312" w:hAnsi="楷体_GB2312" w:eastAsia="楷体_GB2312" w:cs="楷体_GB2312"/>
          <w:b/>
          <w:bCs/>
          <w:i w:val="0"/>
          <w:caps w:val="0"/>
          <w:color w:val="auto"/>
          <w:spacing w:val="0"/>
          <w:sz w:val="30"/>
          <w:szCs w:val="30"/>
          <w:shd w:val="clear" w:fill="FFFFFF"/>
          <w:lang w:val="en-US" w:eastAsia="zh-CN"/>
        </w:rPr>
        <w:t>一</w:t>
      </w:r>
      <w:r>
        <w:rPr>
          <w:rFonts w:hint="eastAsia" w:ascii="楷体_GB2312" w:hAnsi="楷体_GB2312" w:eastAsia="楷体_GB2312" w:cs="楷体_GB2312"/>
          <w:b/>
          <w:bCs/>
          <w:i w:val="0"/>
          <w:caps w:val="0"/>
          <w:color w:val="auto"/>
          <w:spacing w:val="0"/>
          <w:sz w:val="30"/>
          <w:szCs w:val="30"/>
          <w:shd w:val="clear" w:fill="FFFFFF"/>
          <w:lang w:eastAsia="zh-CN"/>
        </w:rPr>
        <w:t>）主动公开政府信息情况。</w:t>
      </w:r>
      <w:r>
        <w:rPr>
          <w:rFonts w:hint="eastAsia" w:eastAsia="仿宋_GB2312"/>
          <w:kern w:val="2"/>
          <w:sz w:val="32"/>
          <w:szCs w:val="32"/>
        </w:rPr>
        <w:t>一是推进规范性文件、重大决策的集中发布。在门户网站开辟专栏，用于规范性文件发布。同时对中央、省市重大决策、重要政策等贯彻落实情况及局制定的重大决策事项及除依法应保密的外,及时通过门户网站、微信公众号等平台进行发布。二是加强信息主动公开。重点围绕规划计划、行政审批等决策事项、征地拆迁等重大建设项目批准和实施领域信息、土地、矿业权交易等公共资源配置信息等内容发布信息。同时，对财务预决算、行政执法、依申请公开等工作信息及时发布。截至目前通过门户网站累计公开政府信息4515条，公开内容全面、完整、真实。三是按时按质完成了市政府办交办的约稿信息任务，并主动报送工作信息80余条。四是进一步创新政府信息公开平台和渠道，推进了各类公开信息在各类新媒体平台及时广泛发布，全面反映和宣传全市自然资源工作动态、发展现状、取得成效等情况。与赣南日报、客家新闻网、赣州电视台、自然资源报等新闻媒体、网站建立了良好的沟通协调机制，全年发布新闻信息200余篇。健全完善了官方微信平台运行机制，及时通过数字化、图表图解、音频视频等公众喜闻乐见的形式发布我自然资源领域各类公开信息，展示我市系统自然资源工作面貌。截至目前，微信公众号粉丝量累计达8500人，发布信息1062条。五是加大政策解读力度。进一步落实中央、省、市关于政策文件解读的要求，全年共发布政策解读文件3篇。围绕全年重点工作，精心策划发布主题，召开了3场新闻发布会，对我市土地供应计划、储备计划、赣南客家风貌、农村房地一体确权登记等重大事项进行精准深入发布。六是认真回复建议提案。按时完成了由我单位主办的人大代表建议12件（含二次办理1件），政协主办提案4件，政协分办共7件，并按要求进行了公开，主动接受群众监督。全年收到申请24件，均已办结，其中，涉及</w:t>
      </w:r>
      <w:r>
        <w:rPr>
          <w:rFonts w:hint="eastAsia" w:eastAsia="仿宋_GB2312"/>
          <w:kern w:val="2"/>
          <w:sz w:val="32"/>
          <w:szCs w:val="32"/>
          <w:lang w:val="en-US" w:eastAsia="zh-CN"/>
        </w:rPr>
        <w:t>机构管理2件，规划管理22件。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eastAsia" w:eastAsia="仿宋_GB2312"/>
          <w:kern w:val="2"/>
          <w:sz w:val="32"/>
          <w:szCs w:val="32"/>
          <w:lang w:val="en-US" w:eastAsia="zh-CN"/>
        </w:rPr>
      </w:pPr>
      <w:r>
        <w:rPr>
          <w:rFonts w:hint="eastAsia" w:ascii="楷体_GB2312" w:hAnsi="楷体_GB2312" w:eastAsia="楷体_GB2312" w:cs="楷体_GB2312"/>
          <w:b/>
          <w:bCs/>
          <w:i w:val="0"/>
          <w:caps w:val="0"/>
          <w:color w:val="auto"/>
          <w:spacing w:val="0"/>
          <w:sz w:val="32"/>
          <w:szCs w:val="32"/>
          <w:shd w:val="clear" w:fill="FFFFFF"/>
          <w:lang w:val="en-US" w:eastAsia="zh-CN"/>
        </w:rPr>
        <w:t>（二）依申请公开政府信息情况。</w:t>
      </w:r>
      <w:r>
        <w:rPr>
          <w:rFonts w:hint="eastAsia" w:eastAsia="仿宋_GB2312"/>
          <w:kern w:val="2"/>
          <w:sz w:val="32"/>
          <w:szCs w:val="32"/>
          <w:lang w:val="en-US" w:eastAsia="zh-CN"/>
        </w:rPr>
        <w:t>依申请公开政府信息情况。全年收到申请26 件，均已办结，其中21 件予以公开，4件涉及重复申请，不予处理，1件无申请公开内容，无法公开。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eastAsia" w:eastAsia="仿宋_GB2312"/>
          <w:kern w:val="2"/>
          <w:sz w:val="32"/>
          <w:szCs w:val="32"/>
          <w:lang w:val="en-US" w:eastAsia="zh-CN"/>
        </w:rPr>
      </w:pPr>
      <w:r>
        <w:rPr>
          <w:rFonts w:hint="eastAsia" w:ascii="楷体_GB2312" w:hAnsi="楷体_GB2312" w:eastAsia="楷体_GB2312" w:cs="楷体_GB2312"/>
          <w:b/>
          <w:bCs/>
          <w:i w:val="0"/>
          <w:caps w:val="0"/>
          <w:color w:val="auto"/>
          <w:spacing w:val="0"/>
          <w:sz w:val="32"/>
          <w:szCs w:val="32"/>
          <w:shd w:val="clear" w:fill="FFFFFF"/>
          <w:lang w:val="en-US" w:eastAsia="zh-CN"/>
        </w:rPr>
        <w:t>（三）政府信息管理情况。</w:t>
      </w:r>
      <w:r>
        <w:rPr>
          <w:rFonts w:hint="eastAsia" w:eastAsia="仿宋_GB2312"/>
          <w:kern w:val="2"/>
          <w:sz w:val="32"/>
          <w:szCs w:val="32"/>
          <w:lang w:val="en-US" w:eastAsia="zh-CN"/>
        </w:rPr>
        <w:t>规范信息发布流程，严格实行信息编写、审核和报送各环节层层把关负责制，严把信息质量关口，由办公室主任审核、分管领导审定，重要信息由主要领导审签，做到了逐级把关、层层负责。实行保密审查责任制，加强政府信息公开属性审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eastAsia" w:eastAsia="仿宋_GB2312"/>
          <w:kern w:val="2"/>
          <w:sz w:val="32"/>
          <w:szCs w:val="32"/>
          <w:lang w:val="en-US" w:eastAsia="zh-CN"/>
        </w:rPr>
      </w:pPr>
      <w:r>
        <w:rPr>
          <w:rFonts w:hint="eastAsia" w:ascii="楷体_GB2312" w:hAnsi="楷体_GB2312" w:eastAsia="楷体_GB2312" w:cs="楷体_GB2312"/>
          <w:b/>
          <w:bCs/>
          <w:i w:val="0"/>
          <w:caps w:val="0"/>
          <w:color w:val="auto"/>
          <w:spacing w:val="0"/>
          <w:sz w:val="32"/>
          <w:szCs w:val="32"/>
          <w:shd w:val="clear" w:fill="FFFFFF"/>
          <w:lang w:val="en-US" w:eastAsia="zh-CN"/>
        </w:rPr>
        <w:t>（四）平台建设情况。</w:t>
      </w:r>
      <w:r>
        <w:rPr>
          <w:rFonts w:hint="eastAsia" w:eastAsia="仿宋_GB2312"/>
          <w:kern w:val="2"/>
          <w:sz w:val="32"/>
          <w:szCs w:val="32"/>
          <w:lang w:val="en-US" w:eastAsia="zh-CN"/>
        </w:rPr>
        <w:t>规范网站操作管理，坚持每日对网站安全进行巡查，每月定期对政府网站开展安全检测评估。严格设定访问和操作权限，明确专人通过加密通道负责网站信息发布管理。制定了网络系统安全责任制、网站安全事故报告等制度，明确专人负责网站和网络安全管理。会同网站开发建设单位编制网站安全事件应急预案，建立安全监测预警机制，实时监测网站的软硬件环境、应用系统等运行状态以及网站挂马、内容篡改等攻击情况，并及时对异常情况进行报警和处置。</w:t>
      </w:r>
    </w:p>
    <w:p>
      <w:pPr>
        <w:keepNext w:val="0"/>
        <w:keepLines w:val="0"/>
        <w:pageBreakBefore w:val="0"/>
        <w:kinsoku/>
        <w:wordWrap/>
        <w:overflowPunct/>
        <w:topLinePunct w:val="0"/>
        <w:autoSpaceDE/>
        <w:autoSpaceDN/>
        <w:bidi w:val="0"/>
        <w:adjustRightInd/>
        <w:snapToGrid/>
        <w:spacing w:line="560" w:lineRule="exact"/>
        <w:ind w:firstLine="642" w:firstLineChars="200"/>
        <w:jc w:val="both"/>
        <w:textAlignment w:val="auto"/>
        <w:rPr>
          <w:rFonts w:hint="eastAsia" w:eastAsia="仿宋_GB2312"/>
          <w:kern w:val="2"/>
          <w:sz w:val="32"/>
          <w:szCs w:val="32"/>
          <w:lang w:val="en-US" w:eastAsia="zh-CN"/>
        </w:rPr>
      </w:pPr>
      <w:r>
        <w:rPr>
          <w:rFonts w:hint="eastAsia" w:ascii="楷体_GB2312" w:hAnsi="楷体_GB2312" w:eastAsia="楷体_GB2312" w:cs="楷体_GB2312"/>
          <w:b/>
          <w:bCs/>
          <w:i w:val="0"/>
          <w:caps w:val="0"/>
          <w:color w:val="auto"/>
          <w:spacing w:val="0"/>
          <w:sz w:val="32"/>
          <w:szCs w:val="32"/>
          <w:shd w:val="clear" w:fill="FFFFFF"/>
          <w:lang w:val="en-US" w:eastAsia="zh-CN"/>
        </w:rPr>
        <w:t>（五）监督保障情况。</w:t>
      </w:r>
      <w:r>
        <w:rPr>
          <w:rFonts w:hint="eastAsia" w:eastAsia="仿宋_GB2312" w:asciiTheme="minorHAnsi" w:hAnsiTheme="minorHAnsi" w:cstheme="minorBidi"/>
          <w:kern w:val="2"/>
          <w:sz w:val="32"/>
          <w:szCs w:val="32"/>
          <w:lang w:val="en-US" w:eastAsia="zh-CN" w:bidi="ar"/>
        </w:rPr>
        <w:t>我局高度重视政务公开及政府信息公开工作，成立了由局党组书记、局长邓海鹰任组长，局党组成员、副局长魏清胜任常务副组长，其他领导班子成员任副组长，各科室（单位）负责人为成员的局政务公开及政府信息公开工作领导小组，下设办公室，并指定专人负责全局政务公开及政府信息公开日常工作，各科室（单位）选定具体经办人员。建立了“主要领导亲自抓、分管领导具体抓、经办人员抓落实”的工作机制，实现领导、机构、人员“三个到位”。完善了《赣州市自然资源局政务公开实施方案的通知》《赣州市自然资源局新媒体信息“三审三校”制度的通知》等，使政务信息公开工作有章可循。规范信息发布流程。严格实行信息编写、审核和报送各环节层层把关负责制，严把信息质量关口，由办公室主任审核、分管领导审定，重要信息由主要领导审签，做到了逐级把关、层层负责。实行保密审查责任制，加强政府信息公开属性审核。建立定期督导机制。每月对市政府信息公开平台、局政务网、局政务微信公众号等平台的信息公开情况进行检查，通过微信群及时调度，对存在的问题，及时通知责任科室（单位）整改到位。</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bCs/>
          <w:color w:val="auto"/>
          <w:sz w:val="32"/>
          <w:szCs w:val="32"/>
          <w:shd w:val="clear" w:color="auto" w:fill="FFFFFF"/>
          <w:lang w:val="en-US" w:eastAsia="zh-CN"/>
        </w:rPr>
      </w:pP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bCs/>
          <w:color w:val="auto"/>
          <w:sz w:val="32"/>
          <w:szCs w:val="32"/>
          <w:shd w:val="clear" w:color="auto" w:fill="FFFFFF"/>
          <w:lang w:val="en-US" w:eastAsia="zh-CN"/>
        </w:rPr>
      </w:pP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bCs/>
          <w:color w:val="auto"/>
          <w:sz w:val="32"/>
          <w:szCs w:val="32"/>
          <w:shd w:val="clear" w:color="auto" w:fill="FFFFFF"/>
          <w:lang w:val="en-US" w:eastAsia="zh-CN"/>
        </w:rPr>
      </w:pP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bCs/>
          <w:color w:val="auto"/>
          <w:sz w:val="32"/>
          <w:szCs w:val="32"/>
          <w:shd w:val="clear" w:color="auto" w:fill="FFFFFF"/>
          <w:lang w:val="en-US" w:eastAsia="zh-CN"/>
        </w:rPr>
      </w:pP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bCs/>
          <w:color w:val="auto"/>
          <w:sz w:val="32"/>
          <w:szCs w:val="32"/>
          <w:shd w:val="clear" w:color="auto" w:fill="FFFFFF"/>
          <w:lang w:val="en-US" w:eastAsia="zh-CN"/>
        </w:rPr>
      </w:pPr>
      <w:r>
        <w:rPr>
          <w:rFonts w:hint="eastAsia" w:ascii="黑体" w:hAnsi="黑体" w:eastAsia="黑体" w:cs="黑体"/>
          <w:bCs/>
          <w:color w:val="auto"/>
          <w:sz w:val="32"/>
          <w:szCs w:val="32"/>
          <w:shd w:val="clear" w:color="auto" w:fill="FFFFFF"/>
          <w:lang w:val="en-US" w:eastAsia="zh-CN"/>
        </w:rPr>
        <w:t>二、主动公开政府信息情况</w:t>
      </w:r>
    </w:p>
    <w:tbl>
      <w:tblPr>
        <w:tblStyle w:val="4"/>
        <w:tblW w:w="84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460"/>
        <w:gridCol w:w="202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本年新制作数量</w:t>
            </w:r>
          </w:p>
        </w:tc>
        <w:tc>
          <w:tcPr>
            <w:tcW w:w="202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本年新公开数量</w:t>
            </w:r>
          </w:p>
        </w:tc>
        <w:tc>
          <w:tcPr>
            <w:tcW w:w="229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规    章</w:t>
            </w:r>
          </w:p>
        </w:tc>
        <w:tc>
          <w:tcPr>
            <w:tcW w:w="2460" w:type="dxa"/>
            <w:shd w:val="clear" w:color="auto" w:fill="auto"/>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025" w:type="dxa"/>
            <w:shd w:val="clear" w:color="auto" w:fill="auto"/>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95" w:type="dxa"/>
            <w:shd w:val="clear" w:color="auto" w:fill="auto"/>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规范性文件（本单位制发的）</w:t>
            </w:r>
          </w:p>
        </w:tc>
        <w:tc>
          <w:tcPr>
            <w:tcW w:w="2460" w:type="dxa"/>
            <w:shd w:val="clear" w:color="auto" w:fill="auto"/>
          </w:tcPr>
          <w:p>
            <w:pPr>
              <w:spacing w:line="460" w:lineRule="exact"/>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25</w:t>
            </w:r>
          </w:p>
        </w:tc>
        <w:tc>
          <w:tcPr>
            <w:tcW w:w="2025" w:type="dxa"/>
            <w:shd w:val="clear" w:color="auto" w:fill="auto"/>
          </w:tcPr>
          <w:p>
            <w:pPr>
              <w:spacing w:line="460" w:lineRule="exact"/>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25</w:t>
            </w:r>
          </w:p>
        </w:tc>
        <w:tc>
          <w:tcPr>
            <w:tcW w:w="2295" w:type="dxa"/>
            <w:shd w:val="clear" w:color="auto" w:fill="auto"/>
          </w:tcPr>
          <w:p>
            <w:pPr>
              <w:spacing w:line="460" w:lineRule="exact"/>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上一年项目数量</w:t>
            </w:r>
          </w:p>
        </w:tc>
        <w:tc>
          <w:tcPr>
            <w:tcW w:w="202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本年增/减</w:t>
            </w:r>
          </w:p>
        </w:tc>
        <w:tc>
          <w:tcPr>
            <w:tcW w:w="229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行政许可</w:t>
            </w:r>
          </w:p>
        </w:tc>
        <w:tc>
          <w:tcPr>
            <w:tcW w:w="2460" w:type="dxa"/>
            <w:shd w:val="clear" w:color="auto" w:fill="auto"/>
          </w:tcPr>
          <w:p>
            <w:pPr>
              <w:widowControl/>
              <w:spacing w:line="600" w:lineRule="exact"/>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w:t>
            </w:r>
          </w:p>
        </w:tc>
        <w:tc>
          <w:tcPr>
            <w:tcW w:w="2025" w:type="dxa"/>
            <w:shd w:val="clear" w:color="auto" w:fill="auto"/>
          </w:tcPr>
          <w:p>
            <w:pPr>
              <w:widowControl/>
              <w:spacing w:line="600" w:lineRule="exact"/>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2295" w:type="dxa"/>
            <w:shd w:val="clear" w:color="auto" w:fill="auto"/>
          </w:tcPr>
          <w:p>
            <w:pPr>
              <w:widowControl/>
              <w:spacing w:line="600" w:lineRule="exact"/>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其他对外管理服务事项</w:t>
            </w:r>
          </w:p>
        </w:tc>
        <w:tc>
          <w:tcPr>
            <w:tcW w:w="2460" w:type="dxa"/>
            <w:shd w:val="clear" w:color="auto" w:fill="auto"/>
            <w:vAlign w:val="center"/>
          </w:tcPr>
          <w:p>
            <w:pPr>
              <w:widowControl/>
              <w:spacing w:line="600" w:lineRule="exact"/>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78</w:t>
            </w:r>
          </w:p>
        </w:tc>
        <w:tc>
          <w:tcPr>
            <w:tcW w:w="2025" w:type="dxa"/>
            <w:shd w:val="clear" w:color="auto" w:fill="auto"/>
            <w:vAlign w:val="center"/>
          </w:tcPr>
          <w:p>
            <w:pPr>
              <w:widowControl/>
              <w:spacing w:line="600" w:lineRule="exact"/>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eastAsia="仿宋"/>
                <w:color w:val="000000" w:themeColor="text1"/>
                <w:lang w:val="en-US" w:eastAsia="zh-CN"/>
                <w14:textFill>
                  <w14:solidFill>
                    <w14:schemeClr w14:val="tx1"/>
                  </w14:solidFill>
                </w14:textFill>
              </w:rPr>
              <w:t>-29</w:t>
            </w:r>
          </w:p>
        </w:tc>
        <w:tc>
          <w:tcPr>
            <w:tcW w:w="2295" w:type="dxa"/>
            <w:shd w:val="clear" w:color="auto" w:fill="auto"/>
            <w:vAlign w:val="center"/>
          </w:tcPr>
          <w:p>
            <w:pPr>
              <w:widowControl/>
              <w:spacing w:line="600" w:lineRule="exact"/>
              <w:jc w:val="center"/>
              <w:rPr>
                <w:rFonts w:ascii="仿宋" w:hAnsi="仿宋" w:eastAsia="仿宋" w:cs="仿宋"/>
                <w:color w:val="000000" w:themeColor="text1"/>
                <w:szCs w:val="21"/>
                <w14:textFill>
                  <w14:solidFill>
                    <w14:schemeClr w14:val="tx1"/>
                  </w14:solidFill>
                </w14:textFill>
              </w:rPr>
            </w:pPr>
            <w:r>
              <w:rPr>
                <w:color w:val="000000" w:themeColor="text1"/>
                <w14:textFill>
                  <w14:solidFill>
                    <w14:schemeClr w14:val="tx1"/>
                  </w14:solidFill>
                </w14:textFill>
              </w:rPr>
              <w:t>266815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上一年项目数量</w:t>
            </w:r>
          </w:p>
        </w:tc>
        <w:tc>
          <w:tcPr>
            <w:tcW w:w="202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本年增/减</w:t>
            </w:r>
          </w:p>
        </w:tc>
        <w:tc>
          <w:tcPr>
            <w:tcW w:w="229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行政处罚</w:t>
            </w:r>
          </w:p>
        </w:tc>
        <w:tc>
          <w:tcPr>
            <w:tcW w:w="2460" w:type="dxa"/>
            <w:shd w:val="clear" w:color="auto" w:fill="auto"/>
            <w:vAlign w:val="top"/>
          </w:tcPr>
          <w:p>
            <w:pPr>
              <w:widowControl/>
              <w:spacing w:line="600" w:lineRule="exact"/>
              <w:jc w:val="center"/>
              <w:rPr>
                <w:rFonts w:hint="default" w:asciiTheme="minorHAnsi" w:hAnsiTheme="minorHAnsi" w:eastAsiaTheme="minorEastAsia" w:cstheme="minorBidi"/>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110</w:t>
            </w:r>
          </w:p>
        </w:tc>
        <w:tc>
          <w:tcPr>
            <w:tcW w:w="2025" w:type="dxa"/>
            <w:shd w:val="clear" w:color="auto" w:fill="auto"/>
            <w:vAlign w:val="top"/>
          </w:tcPr>
          <w:p>
            <w:pPr>
              <w:widowControl/>
              <w:spacing w:line="600" w:lineRule="exact"/>
              <w:jc w:val="center"/>
              <w:rPr>
                <w:rFonts w:hint="default" w:asciiTheme="minorHAnsi" w:hAnsiTheme="minorHAnsi" w:eastAsiaTheme="minorEastAsia" w:cstheme="minorBidi"/>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-62</w:t>
            </w:r>
          </w:p>
        </w:tc>
        <w:tc>
          <w:tcPr>
            <w:tcW w:w="2295" w:type="dxa"/>
            <w:shd w:val="clear" w:color="auto" w:fill="auto"/>
            <w:vAlign w:val="top"/>
          </w:tcPr>
          <w:p>
            <w:pPr>
              <w:widowControl/>
              <w:spacing w:line="600" w:lineRule="exact"/>
              <w:jc w:val="center"/>
              <w:rPr>
                <w:rFonts w:hint="default" w:asciiTheme="minorHAnsi" w:hAnsiTheme="minorHAnsi" w:eastAsiaTheme="minorEastAsia" w:cstheme="minorBidi"/>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行政强制</w:t>
            </w:r>
          </w:p>
        </w:tc>
        <w:tc>
          <w:tcPr>
            <w:tcW w:w="2460" w:type="dxa"/>
            <w:shd w:val="clear" w:color="auto" w:fill="auto"/>
          </w:tcPr>
          <w:p>
            <w:pPr>
              <w:spacing w:line="460" w:lineRule="exact"/>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4</w:t>
            </w:r>
          </w:p>
        </w:tc>
        <w:tc>
          <w:tcPr>
            <w:tcW w:w="2025" w:type="dxa"/>
            <w:shd w:val="clear" w:color="auto" w:fill="auto"/>
          </w:tcPr>
          <w:p>
            <w:pPr>
              <w:spacing w:line="460" w:lineRule="exact"/>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-4</w:t>
            </w:r>
          </w:p>
        </w:tc>
        <w:tc>
          <w:tcPr>
            <w:tcW w:w="2295" w:type="dxa"/>
            <w:shd w:val="clear" w:color="auto" w:fill="auto"/>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上一年项目数量</w:t>
            </w:r>
          </w:p>
        </w:tc>
        <w:tc>
          <w:tcPr>
            <w:tcW w:w="4320" w:type="dxa"/>
            <w:gridSpan w:val="2"/>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行政事业性收费</w:t>
            </w:r>
          </w:p>
        </w:tc>
        <w:tc>
          <w:tcPr>
            <w:tcW w:w="2460" w:type="dxa"/>
            <w:shd w:val="clear" w:color="auto" w:fill="auto"/>
          </w:tcPr>
          <w:p>
            <w:pPr>
              <w:spacing w:line="460" w:lineRule="exact"/>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3</w:t>
            </w:r>
            <w:bookmarkStart w:id="0" w:name="_GoBack"/>
            <w:bookmarkEnd w:id="0"/>
          </w:p>
        </w:tc>
        <w:tc>
          <w:tcPr>
            <w:tcW w:w="4320" w:type="dxa"/>
            <w:gridSpan w:val="2"/>
            <w:shd w:val="clear" w:color="auto" w:fill="auto"/>
          </w:tcPr>
          <w:p>
            <w:pPr>
              <w:spacing w:line="460" w:lineRule="exact"/>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采购项目数量</w:t>
            </w:r>
          </w:p>
        </w:tc>
        <w:tc>
          <w:tcPr>
            <w:tcW w:w="4320" w:type="dxa"/>
            <w:gridSpan w:val="2"/>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政府集中采购</w:t>
            </w:r>
          </w:p>
        </w:tc>
        <w:tc>
          <w:tcPr>
            <w:tcW w:w="2460" w:type="dxa"/>
            <w:shd w:val="clear" w:color="auto" w:fill="auto"/>
          </w:tcPr>
          <w:p>
            <w:pPr>
              <w:spacing w:line="460" w:lineRule="exac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9</w:t>
            </w:r>
          </w:p>
        </w:tc>
        <w:tc>
          <w:tcPr>
            <w:tcW w:w="4320" w:type="dxa"/>
            <w:gridSpan w:val="2"/>
            <w:shd w:val="clear" w:color="auto" w:fill="auto"/>
          </w:tcPr>
          <w:p>
            <w:pPr>
              <w:spacing w:line="46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21559500元</w:t>
            </w:r>
          </w:p>
        </w:tc>
      </w:tr>
    </w:tbl>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bCs/>
          <w:color w:val="auto"/>
          <w:sz w:val="32"/>
          <w:szCs w:val="32"/>
          <w:shd w:val="clear" w:color="auto" w:fill="FFFFFF"/>
          <w:lang w:val="en-US" w:eastAsia="zh-CN"/>
        </w:rPr>
      </w:pP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bCs/>
          <w:color w:val="auto"/>
          <w:sz w:val="32"/>
          <w:szCs w:val="32"/>
          <w:shd w:val="clear" w:color="auto" w:fill="FFFFFF"/>
          <w:lang w:val="en-US" w:eastAsia="zh-CN"/>
        </w:rPr>
      </w:pP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bCs/>
          <w:color w:val="auto"/>
          <w:sz w:val="32"/>
          <w:szCs w:val="32"/>
          <w:shd w:val="clear" w:color="auto" w:fill="FFFFFF"/>
          <w:lang w:val="en-US" w:eastAsia="zh-CN"/>
        </w:rPr>
      </w:pP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bCs/>
          <w:color w:val="auto"/>
          <w:sz w:val="32"/>
          <w:szCs w:val="32"/>
          <w:shd w:val="clear" w:color="auto" w:fill="FFFFFF"/>
          <w:lang w:val="en-US" w:eastAsia="zh-CN"/>
        </w:rPr>
      </w:pP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黑体" w:hAnsi="黑体" w:eastAsia="黑体" w:cs="黑体"/>
          <w:bCs/>
          <w:color w:val="auto"/>
          <w:sz w:val="32"/>
          <w:szCs w:val="32"/>
          <w:shd w:val="clear" w:color="auto" w:fill="FFFFFF"/>
          <w:lang w:val="en-US" w:eastAsia="zh-CN"/>
        </w:rPr>
      </w:pP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bCs/>
          <w:color w:val="auto"/>
          <w:sz w:val="32"/>
          <w:szCs w:val="32"/>
          <w:shd w:val="clear" w:color="auto" w:fill="FFFFFF"/>
          <w:lang w:val="en-US" w:eastAsia="zh-CN"/>
        </w:rPr>
      </w:pPr>
      <w:r>
        <w:rPr>
          <w:rFonts w:hint="eastAsia" w:ascii="黑体" w:hAnsi="黑体" w:eastAsia="黑体" w:cs="黑体"/>
          <w:bCs/>
          <w:color w:val="auto"/>
          <w:sz w:val="32"/>
          <w:szCs w:val="32"/>
          <w:shd w:val="clear" w:color="auto" w:fill="FFFFFF"/>
          <w:lang w:val="en-US" w:eastAsia="zh-CN"/>
        </w:rPr>
        <w:t>三、收到和处理政府信息公开申请情况</w:t>
      </w:r>
    </w:p>
    <w:tbl>
      <w:tblPr>
        <w:tblStyle w:val="4"/>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18"/>
        <w:gridCol w:w="855"/>
        <w:gridCol w:w="2089"/>
        <w:gridCol w:w="814"/>
        <w:gridCol w:w="756"/>
        <w:gridCol w:w="756"/>
        <w:gridCol w:w="815"/>
        <w:gridCol w:w="976"/>
        <w:gridCol w:w="713"/>
        <w:gridCol w:w="67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62"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hint="eastAsia" w:ascii="宋体" w:hAnsi="宋体" w:eastAsia="宋体" w:cs="宋体"/>
                <w:kern w:val="0"/>
                <w:sz w:val="20"/>
                <w:szCs w:val="20"/>
              </w:rPr>
              <w:t>（本列数据的勾稽关系为：第一项加第二项之和，等于第三项加第四项之和）</w:t>
            </w:r>
          </w:p>
        </w:tc>
        <w:tc>
          <w:tcPr>
            <w:tcW w:w="5509"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hint="eastAsia" w:ascii="宋体" w:hAnsi="宋体" w:eastAsia="宋体" w:cs="宋体"/>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62"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4"/>
                <w:szCs w:val="24"/>
              </w:rPr>
            </w:pPr>
          </w:p>
        </w:tc>
        <w:tc>
          <w:tcPr>
            <w:tcW w:w="81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hint="eastAsia" w:ascii="宋体" w:hAnsi="宋体" w:eastAsia="宋体" w:cs="宋体"/>
                <w:kern w:val="0"/>
                <w:sz w:val="20"/>
                <w:szCs w:val="20"/>
              </w:rPr>
              <w:t>自然人</w:t>
            </w:r>
          </w:p>
        </w:tc>
        <w:tc>
          <w:tcPr>
            <w:tcW w:w="4016"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hint="eastAsia" w:ascii="宋体" w:hAnsi="宋体" w:eastAsia="宋体" w:cs="宋体"/>
                <w:kern w:val="0"/>
                <w:sz w:val="20"/>
                <w:szCs w:val="20"/>
              </w:rPr>
              <w:t>法人或其他组织</w:t>
            </w:r>
          </w:p>
        </w:tc>
        <w:tc>
          <w:tcPr>
            <w:tcW w:w="679"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hint="eastAsia" w:ascii="宋体" w:hAnsi="宋体" w:eastAsia="宋体" w:cs="宋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62"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4"/>
                <w:szCs w:val="24"/>
              </w:rPr>
            </w:pPr>
          </w:p>
        </w:tc>
        <w:tc>
          <w:tcPr>
            <w:tcW w:w="81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4"/>
                <w:szCs w:val="24"/>
              </w:rPr>
            </w:pP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hint="eastAsia" w:ascii="宋体" w:hAnsi="宋体" w:eastAsia="宋体" w:cs="宋体"/>
                <w:kern w:val="0"/>
                <w:sz w:val="20"/>
                <w:szCs w:val="20"/>
              </w:rPr>
              <w:t>商业企业</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hint="eastAsia" w:ascii="宋体" w:hAnsi="宋体" w:eastAsia="宋体" w:cs="宋体"/>
                <w:kern w:val="0"/>
                <w:sz w:val="20"/>
                <w:szCs w:val="20"/>
              </w:rPr>
              <w:t>科研机构</w:t>
            </w:r>
          </w:p>
        </w:tc>
        <w:tc>
          <w:tcPr>
            <w:tcW w:w="81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hint="eastAsia" w:ascii="宋体" w:hAnsi="宋体" w:eastAsia="宋体" w:cs="宋体"/>
                <w:kern w:val="0"/>
                <w:sz w:val="20"/>
                <w:szCs w:val="20"/>
              </w:rPr>
              <w:t>社会公益组织</w:t>
            </w:r>
          </w:p>
        </w:tc>
        <w:tc>
          <w:tcPr>
            <w:tcW w:w="97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hint="eastAsia" w:ascii="宋体" w:hAnsi="宋体" w:eastAsia="宋体" w:cs="宋体"/>
                <w:kern w:val="0"/>
                <w:sz w:val="20"/>
                <w:szCs w:val="20"/>
              </w:rPr>
              <w:t>法律服务机构</w:t>
            </w:r>
          </w:p>
        </w:tc>
        <w:tc>
          <w:tcPr>
            <w:tcW w:w="71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hint="eastAsia" w:ascii="宋体" w:hAnsi="宋体" w:eastAsia="宋体" w:cs="宋体"/>
                <w:kern w:val="0"/>
                <w:sz w:val="20"/>
                <w:szCs w:val="20"/>
              </w:rPr>
              <w:t>其他</w:t>
            </w:r>
          </w:p>
        </w:tc>
        <w:tc>
          <w:tcPr>
            <w:tcW w:w="679"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3562"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left"/>
              <w:textAlignment w:val="auto"/>
            </w:pPr>
            <w:r>
              <w:rPr>
                <w:rFonts w:hint="eastAsia" w:ascii="宋体" w:hAnsi="宋体" w:eastAsia="宋体" w:cs="宋体"/>
                <w:kern w:val="0"/>
                <w:sz w:val="20"/>
                <w:szCs w:val="20"/>
              </w:rPr>
              <w:t>一、本年新收政府信息公开申请数量</w:t>
            </w:r>
          </w:p>
        </w:tc>
        <w:tc>
          <w:tcPr>
            <w:tcW w:w="814"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rPr>
                <w:rFonts w:hint="default" w:eastAsiaTheme="minorEastAsia"/>
                <w:lang w:val="en-US" w:eastAsia="zh-CN"/>
              </w:rPr>
            </w:pPr>
            <w:r>
              <w:rPr>
                <w:rFonts w:hint="eastAsia" w:cs="Calibri" w:eastAsiaTheme="minorEastAsia"/>
                <w:kern w:val="0"/>
                <w:sz w:val="20"/>
                <w:szCs w:val="20"/>
                <w:lang w:val="en-US" w:eastAsia="zh-CN"/>
              </w:rPr>
              <w:t>26</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rPr>
                <w:rFonts w:hint="eastAsia" w:eastAsiaTheme="minorEastAsia"/>
                <w:lang w:val="en-US" w:eastAsia="zh-CN"/>
              </w:rPr>
            </w:pP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p>
        </w:tc>
        <w:tc>
          <w:tcPr>
            <w:tcW w:w="815"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p>
        </w:tc>
        <w:tc>
          <w:tcPr>
            <w:tcW w:w="97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p>
        </w:tc>
        <w:tc>
          <w:tcPr>
            <w:tcW w:w="713"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p>
        </w:tc>
        <w:tc>
          <w:tcPr>
            <w:tcW w:w="67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rPr>
                <w:rFonts w:hint="default"/>
                <w:lang w:val="en-US"/>
              </w:rPr>
            </w:pPr>
            <w:r>
              <w:rPr>
                <w:rFonts w:hint="eastAsia" w:cs="Calibri" w:eastAsiaTheme="minorEastAsia"/>
                <w:kern w:val="0"/>
                <w:sz w:val="20"/>
                <w:szCs w:val="20"/>
                <w:lang w:val="en-US" w:eastAsia="zh-CN"/>
              </w:rPr>
              <w:t>26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62"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left"/>
              <w:textAlignment w:val="auto"/>
            </w:pPr>
            <w:r>
              <w:rPr>
                <w:rFonts w:hint="eastAsia" w:ascii="宋体" w:hAnsi="宋体" w:eastAsia="宋体" w:cs="宋体"/>
                <w:kern w:val="0"/>
                <w:sz w:val="20"/>
                <w:szCs w:val="20"/>
              </w:rPr>
              <w:t>二、上年结转政府信息公开申请数量</w:t>
            </w:r>
          </w:p>
        </w:tc>
        <w:tc>
          <w:tcPr>
            <w:tcW w:w="814"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p>
        </w:tc>
        <w:tc>
          <w:tcPr>
            <w:tcW w:w="815"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p>
        </w:tc>
        <w:tc>
          <w:tcPr>
            <w:tcW w:w="97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p>
        </w:tc>
        <w:tc>
          <w:tcPr>
            <w:tcW w:w="713"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p>
        </w:tc>
        <w:tc>
          <w:tcPr>
            <w:tcW w:w="67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rPr>
                <w:rFonts w:hint="eastAsia" w:eastAsiaTheme="minorEastAsia"/>
                <w:lang w:val="en-US" w:eastAsia="zh-CN"/>
              </w:rPr>
            </w:pPr>
            <w:r>
              <w:rPr>
                <w:rFonts w:hint="eastAsia" w:cs="Calibri" w:eastAsiaTheme="minorEastAsia"/>
                <w:kern w:val="0"/>
                <w:sz w:val="20"/>
                <w:szCs w:val="20"/>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hint="eastAsia" w:ascii="宋体" w:hAnsi="宋体" w:eastAsia="宋体" w:cs="宋体"/>
                <w:kern w:val="0"/>
                <w:sz w:val="20"/>
                <w:szCs w:val="20"/>
              </w:rPr>
              <w:t>三、本年度办理结果</w:t>
            </w:r>
          </w:p>
        </w:tc>
        <w:tc>
          <w:tcPr>
            <w:tcW w:w="2944"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（一）予以公开</w:t>
            </w:r>
          </w:p>
        </w:tc>
        <w:tc>
          <w:tcPr>
            <w:tcW w:w="81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rPr>
                <w:rFonts w:hint="default" w:eastAsiaTheme="minorEastAsia"/>
                <w:lang w:val="en-US" w:eastAsia="zh-CN"/>
              </w:rPr>
            </w:pPr>
            <w:r>
              <w:rPr>
                <w:rFonts w:hint="eastAsia" w:cs="Calibri" w:eastAsiaTheme="minorEastAsia"/>
                <w:kern w:val="0"/>
                <w:sz w:val="20"/>
                <w:szCs w:val="20"/>
                <w:lang w:val="en-US" w:eastAsia="zh-CN"/>
              </w:rPr>
              <w:t>21</w:t>
            </w: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rPr>
                <w:rFonts w:hint="eastAsia" w:eastAsiaTheme="minorEastAsia"/>
                <w:lang w:val="en-US" w:eastAsia="zh-CN"/>
              </w:rPr>
            </w:pP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81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97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71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6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rPr>
                <w:rFonts w:hint="default" w:eastAsiaTheme="minorEastAsia"/>
                <w:lang w:val="en-US" w:eastAsia="zh-CN"/>
              </w:rPr>
            </w:pPr>
            <w:r>
              <w:rPr>
                <w:rFonts w:hint="eastAsia" w:cs="Calibri" w:eastAsiaTheme="minorEastAsia"/>
                <w:kern w:val="0"/>
                <w:sz w:val="20"/>
                <w:szCs w:val="20"/>
                <w:lang w:val="en-US" w:eastAsia="zh-CN"/>
              </w:rPr>
              <w:t>21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kinsoku/>
              <w:wordWrap/>
              <w:overflowPunct/>
              <w:topLinePunct w:val="0"/>
              <w:autoSpaceDE/>
              <w:autoSpaceDN/>
              <w:bidi w:val="0"/>
              <w:adjustRightInd/>
              <w:snapToGrid/>
              <w:spacing w:line="600" w:lineRule="exact"/>
              <w:jc w:val="left"/>
              <w:textAlignment w:val="auto"/>
              <w:rPr>
                <w:rFonts w:ascii="宋体"/>
                <w:sz w:val="24"/>
                <w:szCs w:val="24"/>
              </w:rPr>
            </w:pPr>
          </w:p>
        </w:tc>
        <w:tc>
          <w:tcPr>
            <w:tcW w:w="2944"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（二）部分公开（区分处理的，只计这一情形，不计其他情形）</w:t>
            </w:r>
          </w:p>
        </w:tc>
        <w:tc>
          <w:tcPr>
            <w:tcW w:w="81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rPr>
                <w:rFonts w:hint="eastAsia" w:eastAsiaTheme="minorEastAsia"/>
                <w:lang w:val="en-US" w:eastAsia="zh-CN"/>
              </w:rPr>
            </w:pP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81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97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71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6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rPr>
                <w:rFonts w:hint="eastAsia" w:eastAsiaTheme="minorEastAsia"/>
                <w:lang w:val="en-US" w:eastAsia="zh-C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kinsoku/>
              <w:wordWrap/>
              <w:overflowPunct/>
              <w:topLinePunct w:val="0"/>
              <w:autoSpaceDE/>
              <w:autoSpaceDN/>
              <w:bidi w:val="0"/>
              <w:adjustRightInd/>
              <w:snapToGrid/>
              <w:spacing w:line="600" w:lineRule="exact"/>
              <w:jc w:val="left"/>
              <w:textAlignment w:val="auto"/>
              <w:rPr>
                <w:rFonts w:ascii="宋体"/>
                <w:sz w:val="24"/>
                <w:szCs w:val="24"/>
              </w:rPr>
            </w:pPr>
          </w:p>
        </w:tc>
        <w:tc>
          <w:tcPr>
            <w:tcW w:w="855"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（三）不予公开</w:t>
            </w:r>
          </w:p>
        </w:tc>
        <w:tc>
          <w:tcPr>
            <w:tcW w:w="208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1.属于国家秘密</w:t>
            </w:r>
          </w:p>
        </w:tc>
        <w:tc>
          <w:tcPr>
            <w:tcW w:w="81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rPr>
                <w:rFonts w:hint="eastAsia" w:eastAsiaTheme="minorEastAsia"/>
                <w:lang w:val="en-US" w:eastAsia="zh-CN"/>
              </w:rPr>
            </w:pP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81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97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71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6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rPr>
                <w:rFonts w:hint="eastAsia" w:eastAsiaTheme="minorEastAsia"/>
                <w:lang w:val="en-US" w:eastAsia="zh-C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kinsoku/>
              <w:wordWrap/>
              <w:overflowPunct/>
              <w:topLinePunct w:val="0"/>
              <w:autoSpaceDE/>
              <w:autoSpaceDN/>
              <w:bidi w:val="0"/>
              <w:adjustRightInd/>
              <w:snapToGrid/>
              <w:spacing w:line="600" w:lineRule="exact"/>
              <w:jc w:val="left"/>
              <w:textAlignment w:val="auto"/>
              <w:rPr>
                <w:rFonts w:ascii="宋体"/>
                <w:sz w:val="24"/>
                <w:szCs w:val="24"/>
              </w:rPr>
            </w:pPr>
          </w:p>
        </w:tc>
        <w:tc>
          <w:tcPr>
            <w:tcW w:w="855"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kinsoku/>
              <w:wordWrap/>
              <w:overflowPunct/>
              <w:topLinePunct w:val="0"/>
              <w:autoSpaceDE/>
              <w:autoSpaceDN/>
              <w:bidi w:val="0"/>
              <w:adjustRightInd/>
              <w:snapToGrid/>
              <w:spacing w:line="600" w:lineRule="exact"/>
              <w:jc w:val="left"/>
              <w:textAlignment w:val="auto"/>
              <w:rPr>
                <w:rFonts w:ascii="宋体"/>
                <w:sz w:val="20"/>
                <w:szCs w:val="20"/>
              </w:rPr>
            </w:pPr>
          </w:p>
        </w:tc>
        <w:tc>
          <w:tcPr>
            <w:tcW w:w="208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2.其他法律行政法规禁止公开</w:t>
            </w:r>
          </w:p>
        </w:tc>
        <w:tc>
          <w:tcPr>
            <w:tcW w:w="81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81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97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1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6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kinsoku/>
              <w:wordWrap/>
              <w:overflowPunct/>
              <w:topLinePunct w:val="0"/>
              <w:autoSpaceDE/>
              <w:autoSpaceDN/>
              <w:bidi w:val="0"/>
              <w:adjustRightInd/>
              <w:snapToGrid/>
              <w:spacing w:line="600" w:lineRule="exact"/>
              <w:jc w:val="left"/>
              <w:textAlignment w:val="auto"/>
              <w:rPr>
                <w:rFonts w:ascii="宋体"/>
                <w:sz w:val="24"/>
                <w:szCs w:val="24"/>
              </w:rPr>
            </w:pPr>
          </w:p>
        </w:tc>
        <w:tc>
          <w:tcPr>
            <w:tcW w:w="855"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kinsoku/>
              <w:wordWrap/>
              <w:overflowPunct/>
              <w:topLinePunct w:val="0"/>
              <w:autoSpaceDE/>
              <w:autoSpaceDN/>
              <w:bidi w:val="0"/>
              <w:adjustRightInd/>
              <w:snapToGrid/>
              <w:spacing w:line="600" w:lineRule="exact"/>
              <w:jc w:val="left"/>
              <w:textAlignment w:val="auto"/>
              <w:rPr>
                <w:rFonts w:ascii="宋体"/>
                <w:sz w:val="20"/>
                <w:szCs w:val="20"/>
              </w:rPr>
            </w:pPr>
          </w:p>
        </w:tc>
        <w:tc>
          <w:tcPr>
            <w:tcW w:w="208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3.危及“三安全一稳定”</w:t>
            </w:r>
          </w:p>
        </w:tc>
        <w:tc>
          <w:tcPr>
            <w:tcW w:w="81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81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97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1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6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kinsoku/>
              <w:wordWrap/>
              <w:overflowPunct/>
              <w:topLinePunct w:val="0"/>
              <w:autoSpaceDE/>
              <w:autoSpaceDN/>
              <w:bidi w:val="0"/>
              <w:adjustRightInd/>
              <w:snapToGrid/>
              <w:spacing w:line="600" w:lineRule="exact"/>
              <w:jc w:val="left"/>
              <w:textAlignment w:val="auto"/>
              <w:rPr>
                <w:rFonts w:ascii="宋体"/>
                <w:sz w:val="24"/>
                <w:szCs w:val="24"/>
              </w:rPr>
            </w:pPr>
          </w:p>
        </w:tc>
        <w:tc>
          <w:tcPr>
            <w:tcW w:w="855"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kinsoku/>
              <w:wordWrap/>
              <w:overflowPunct/>
              <w:topLinePunct w:val="0"/>
              <w:autoSpaceDE/>
              <w:autoSpaceDN/>
              <w:bidi w:val="0"/>
              <w:adjustRightInd/>
              <w:snapToGrid/>
              <w:spacing w:line="600" w:lineRule="exact"/>
              <w:jc w:val="left"/>
              <w:textAlignment w:val="auto"/>
              <w:rPr>
                <w:rFonts w:ascii="宋体"/>
                <w:sz w:val="20"/>
                <w:szCs w:val="20"/>
              </w:rPr>
            </w:pPr>
          </w:p>
        </w:tc>
        <w:tc>
          <w:tcPr>
            <w:tcW w:w="208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4.保护第三方合法权益</w:t>
            </w:r>
          </w:p>
        </w:tc>
        <w:tc>
          <w:tcPr>
            <w:tcW w:w="81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81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97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1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6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kinsoku/>
              <w:wordWrap/>
              <w:overflowPunct/>
              <w:topLinePunct w:val="0"/>
              <w:autoSpaceDE/>
              <w:autoSpaceDN/>
              <w:bidi w:val="0"/>
              <w:adjustRightInd/>
              <w:snapToGrid/>
              <w:spacing w:line="600" w:lineRule="exact"/>
              <w:jc w:val="left"/>
              <w:textAlignment w:val="auto"/>
              <w:rPr>
                <w:rFonts w:ascii="宋体"/>
                <w:sz w:val="24"/>
                <w:szCs w:val="24"/>
              </w:rPr>
            </w:pPr>
          </w:p>
        </w:tc>
        <w:tc>
          <w:tcPr>
            <w:tcW w:w="855"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kinsoku/>
              <w:wordWrap/>
              <w:overflowPunct/>
              <w:topLinePunct w:val="0"/>
              <w:autoSpaceDE/>
              <w:autoSpaceDN/>
              <w:bidi w:val="0"/>
              <w:adjustRightInd/>
              <w:snapToGrid/>
              <w:spacing w:line="600" w:lineRule="exact"/>
              <w:jc w:val="left"/>
              <w:textAlignment w:val="auto"/>
              <w:rPr>
                <w:rFonts w:ascii="宋体"/>
                <w:sz w:val="20"/>
                <w:szCs w:val="20"/>
              </w:rPr>
            </w:pPr>
          </w:p>
        </w:tc>
        <w:tc>
          <w:tcPr>
            <w:tcW w:w="208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5.属于三类内部事务信息</w:t>
            </w:r>
          </w:p>
        </w:tc>
        <w:tc>
          <w:tcPr>
            <w:tcW w:w="81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81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97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1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6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kinsoku/>
              <w:wordWrap/>
              <w:overflowPunct/>
              <w:topLinePunct w:val="0"/>
              <w:autoSpaceDE/>
              <w:autoSpaceDN/>
              <w:bidi w:val="0"/>
              <w:adjustRightInd/>
              <w:snapToGrid/>
              <w:spacing w:line="600" w:lineRule="exact"/>
              <w:jc w:val="left"/>
              <w:textAlignment w:val="auto"/>
              <w:rPr>
                <w:rFonts w:ascii="宋体"/>
                <w:sz w:val="24"/>
                <w:szCs w:val="24"/>
              </w:rPr>
            </w:pPr>
          </w:p>
        </w:tc>
        <w:tc>
          <w:tcPr>
            <w:tcW w:w="855"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kinsoku/>
              <w:wordWrap/>
              <w:overflowPunct/>
              <w:topLinePunct w:val="0"/>
              <w:autoSpaceDE/>
              <w:autoSpaceDN/>
              <w:bidi w:val="0"/>
              <w:adjustRightInd/>
              <w:snapToGrid/>
              <w:spacing w:line="600" w:lineRule="exact"/>
              <w:jc w:val="left"/>
              <w:textAlignment w:val="auto"/>
              <w:rPr>
                <w:rFonts w:ascii="宋体"/>
                <w:sz w:val="20"/>
                <w:szCs w:val="20"/>
              </w:rPr>
            </w:pPr>
          </w:p>
        </w:tc>
        <w:tc>
          <w:tcPr>
            <w:tcW w:w="208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6.属于四类过程性信息</w:t>
            </w:r>
          </w:p>
        </w:tc>
        <w:tc>
          <w:tcPr>
            <w:tcW w:w="81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81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97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1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6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4"/>
                <w:szCs w:val="24"/>
              </w:rPr>
            </w:pPr>
          </w:p>
        </w:tc>
        <w:tc>
          <w:tcPr>
            <w:tcW w:w="855"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0"/>
                <w:szCs w:val="20"/>
              </w:rPr>
            </w:pPr>
          </w:p>
        </w:tc>
        <w:tc>
          <w:tcPr>
            <w:tcW w:w="208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7.属于行政执法案卷</w:t>
            </w:r>
          </w:p>
        </w:tc>
        <w:tc>
          <w:tcPr>
            <w:tcW w:w="81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81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97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1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67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0"/>
                <w:szCs w:val="20"/>
              </w:rPr>
            </w:pPr>
          </w:p>
        </w:tc>
        <w:tc>
          <w:tcPr>
            <w:tcW w:w="208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8.属于行政查询事项</w:t>
            </w:r>
          </w:p>
        </w:tc>
        <w:tc>
          <w:tcPr>
            <w:tcW w:w="814"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815"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97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13"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67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4"/>
                <w:szCs w:val="24"/>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（四）无法提供</w:t>
            </w:r>
          </w:p>
        </w:tc>
        <w:tc>
          <w:tcPr>
            <w:tcW w:w="208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1.本机关不掌握相关政府信息</w:t>
            </w:r>
          </w:p>
        </w:tc>
        <w:tc>
          <w:tcPr>
            <w:tcW w:w="814"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815"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97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13"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67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0"/>
                <w:szCs w:val="20"/>
              </w:rPr>
            </w:pPr>
          </w:p>
        </w:tc>
        <w:tc>
          <w:tcPr>
            <w:tcW w:w="208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2.没有现成信息需要另行制作</w:t>
            </w:r>
          </w:p>
        </w:tc>
        <w:tc>
          <w:tcPr>
            <w:tcW w:w="814"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815"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97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13"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67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0"/>
                <w:szCs w:val="20"/>
              </w:rPr>
            </w:pPr>
          </w:p>
        </w:tc>
        <w:tc>
          <w:tcPr>
            <w:tcW w:w="208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3.补正后申请内容仍不明确</w:t>
            </w:r>
          </w:p>
        </w:tc>
        <w:tc>
          <w:tcPr>
            <w:tcW w:w="814"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815"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97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13"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67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4"/>
                <w:szCs w:val="24"/>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（五）不予处理</w:t>
            </w:r>
          </w:p>
        </w:tc>
        <w:tc>
          <w:tcPr>
            <w:tcW w:w="208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1.信访举报投诉类申请</w:t>
            </w:r>
          </w:p>
        </w:tc>
        <w:tc>
          <w:tcPr>
            <w:tcW w:w="814"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815"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97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13"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67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0"/>
                <w:szCs w:val="20"/>
              </w:rPr>
            </w:pPr>
          </w:p>
        </w:tc>
        <w:tc>
          <w:tcPr>
            <w:tcW w:w="208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2.重复申请</w:t>
            </w:r>
          </w:p>
        </w:tc>
        <w:tc>
          <w:tcPr>
            <w:tcW w:w="814"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hint="eastAsia" w:cs="Calibri" w:eastAsiaTheme="minorEastAsia"/>
                <w:kern w:val="0"/>
                <w:sz w:val="20"/>
                <w:szCs w:val="20"/>
                <w:lang w:val="en-US" w:eastAsia="zh-CN"/>
              </w:rPr>
              <w:t>4</w:t>
            </w: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815"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97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13"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67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rPr>
                <w:rFonts w:hint="eastAsia" w:eastAsiaTheme="minorEastAsia"/>
                <w:lang w:val="en-US" w:eastAsia="zh-CN"/>
              </w:rPr>
            </w:pPr>
            <w:r>
              <w:rPr>
                <w:rFonts w:ascii="Calibri" w:hAnsi="Calibri" w:cs="Calibri" w:eastAsiaTheme="minorEastAsia"/>
                <w:kern w:val="0"/>
                <w:sz w:val="20"/>
                <w:szCs w:val="20"/>
              </w:rPr>
              <w:t> </w:t>
            </w:r>
            <w:r>
              <w:rPr>
                <w:rFonts w:hint="eastAsia" w:cs="Calibri" w:eastAsiaTheme="minorEastAsia"/>
                <w:kern w:val="0"/>
                <w:sz w:val="20"/>
                <w:szCs w:val="20"/>
                <w:lang w:val="en-US" w:eastAsia="zh-CN"/>
              </w:rPr>
              <w:t>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0"/>
                <w:szCs w:val="20"/>
              </w:rPr>
            </w:pPr>
          </w:p>
        </w:tc>
        <w:tc>
          <w:tcPr>
            <w:tcW w:w="208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3.要求提供公开出版物</w:t>
            </w:r>
          </w:p>
        </w:tc>
        <w:tc>
          <w:tcPr>
            <w:tcW w:w="814"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815"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97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13"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67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0"/>
                <w:szCs w:val="20"/>
              </w:rPr>
            </w:pPr>
          </w:p>
        </w:tc>
        <w:tc>
          <w:tcPr>
            <w:tcW w:w="208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4.无正当理由大量反复申请</w:t>
            </w:r>
          </w:p>
        </w:tc>
        <w:tc>
          <w:tcPr>
            <w:tcW w:w="814"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815"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97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13"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67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0"/>
                <w:szCs w:val="20"/>
              </w:rPr>
            </w:pPr>
          </w:p>
        </w:tc>
        <w:tc>
          <w:tcPr>
            <w:tcW w:w="208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5.要求行政机关确认或重新出具已获取信息</w:t>
            </w:r>
          </w:p>
        </w:tc>
        <w:tc>
          <w:tcPr>
            <w:tcW w:w="814"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815"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97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13"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67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600" w:lineRule="exact"/>
              <w:textAlignment w:val="auto"/>
              <w:rPr>
                <w:rFonts w:ascii="宋体"/>
                <w:sz w:val="24"/>
                <w:szCs w:val="24"/>
              </w:rPr>
            </w:pPr>
          </w:p>
        </w:tc>
        <w:tc>
          <w:tcPr>
            <w:tcW w:w="294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（六）其他处理</w:t>
            </w:r>
          </w:p>
        </w:tc>
        <w:tc>
          <w:tcPr>
            <w:tcW w:w="814"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rPr>
                <w:rFonts w:hint="eastAsia" w:eastAsiaTheme="minorEastAsia"/>
                <w:lang w:val="en-US" w:eastAsia="zh-CN"/>
              </w:rPr>
            </w:pPr>
            <w:r>
              <w:rPr>
                <w:rFonts w:ascii="Calibri" w:hAnsi="Calibri" w:cs="Calibri" w:eastAsiaTheme="minorEastAsia"/>
                <w:kern w:val="0"/>
                <w:sz w:val="20"/>
                <w:szCs w:val="20"/>
              </w:rPr>
              <w:t> </w:t>
            </w:r>
            <w:r>
              <w:rPr>
                <w:rFonts w:hint="eastAsia" w:cs="Calibri" w:eastAsiaTheme="minorEastAsia"/>
                <w:kern w:val="0"/>
                <w:sz w:val="20"/>
                <w:szCs w:val="20"/>
                <w:lang w:val="en-US" w:eastAsia="zh-CN"/>
              </w:rPr>
              <w:t>1</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5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815"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976"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713"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pPr>
            <w:r>
              <w:rPr>
                <w:rFonts w:ascii="Calibri" w:hAnsi="Calibri" w:cs="Calibri" w:eastAsiaTheme="minorEastAsia"/>
                <w:kern w:val="0"/>
                <w:sz w:val="20"/>
                <w:szCs w:val="20"/>
              </w:rPr>
              <w:t> </w:t>
            </w:r>
          </w:p>
        </w:tc>
        <w:tc>
          <w:tcPr>
            <w:tcW w:w="679" w:type="dxa"/>
            <w:tcBorders>
              <w:top w:val="nil"/>
              <w:left w:val="nil"/>
              <w:bottom w:val="single" w:color="auto" w:sz="8" w:space="0"/>
              <w:right w:val="single" w:color="auto" w:sz="8" w:space="0"/>
            </w:tcBorders>
            <w:shd w:val="clear" w:color="auto" w:fill="auto"/>
            <w:tcMar>
              <w:left w:w="108" w:type="dxa"/>
              <w:right w:w="108" w:type="dxa"/>
            </w:tcMar>
            <w:vAlign w:val="center"/>
          </w:tcPr>
          <w:p>
            <w:pPr>
              <w:pageBreakBefore w:val="0"/>
              <w:widowControl/>
              <w:kinsoku/>
              <w:wordWrap/>
              <w:overflowPunct/>
              <w:topLinePunct w:val="0"/>
              <w:autoSpaceDE/>
              <w:autoSpaceDN/>
              <w:bidi w:val="0"/>
              <w:adjustRightInd/>
              <w:snapToGrid/>
              <w:spacing w:line="600" w:lineRule="exact"/>
              <w:jc w:val="center"/>
              <w:textAlignment w:val="auto"/>
              <w:rPr>
                <w:rFonts w:hint="eastAsia" w:eastAsiaTheme="minorEastAsia"/>
                <w:lang w:val="en-US" w:eastAsia="zh-CN"/>
              </w:rPr>
            </w:pPr>
            <w:r>
              <w:rPr>
                <w:rFonts w:ascii="Calibri" w:hAnsi="Calibri" w:cs="Calibri" w:eastAsiaTheme="minorEastAsia"/>
                <w:kern w:val="0"/>
                <w:sz w:val="20"/>
                <w:szCs w:val="20"/>
              </w:rPr>
              <w:t> </w:t>
            </w:r>
            <w:r>
              <w:rPr>
                <w:rFonts w:hint="eastAsia" w:cs="Calibri" w:eastAsiaTheme="minorEastAsia"/>
                <w:kern w:val="0"/>
                <w:sz w:val="20"/>
                <w:szCs w:val="20"/>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kinsoku/>
              <w:wordWrap/>
              <w:overflowPunct/>
              <w:topLinePunct w:val="0"/>
              <w:autoSpaceDE/>
              <w:autoSpaceDN/>
              <w:bidi w:val="0"/>
              <w:adjustRightInd/>
              <w:snapToGrid/>
              <w:spacing w:line="600" w:lineRule="exact"/>
              <w:jc w:val="center"/>
              <w:textAlignment w:val="auto"/>
              <w:rPr>
                <w:rFonts w:ascii="宋体"/>
                <w:sz w:val="24"/>
                <w:szCs w:val="24"/>
              </w:rPr>
            </w:pPr>
          </w:p>
        </w:tc>
        <w:tc>
          <w:tcPr>
            <w:tcW w:w="2944"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rPr>
                <w:sz w:val="20"/>
                <w:szCs w:val="20"/>
              </w:rPr>
            </w:pPr>
            <w:r>
              <w:rPr>
                <w:rFonts w:hint="eastAsia" w:ascii="楷体" w:hAnsi="楷体" w:eastAsia="楷体" w:cs="楷体"/>
                <w:kern w:val="0"/>
                <w:sz w:val="20"/>
                <w:szCs w:val="20"/>
              </w:rPr>
              <w:t>（七）总计</w:t>
            </w:r>
          </w:p>
        </w:tc>
        <w:tc>
          <w:tcPr>
            <w:tcW w:w="81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rPr>
                <w:rFonts w:hint="default" w:eastAsiaTheme="minorEastAsia"/>
                <w:lang w:val="en-US" w:eastAsia="zh-CN"/>
              </w:rPr>
            </w:pPr>
            <w:r>
              <w:rPr>
                <w:rFonts w:hint="eastAsia" w:cs="Calibri" w:eastAsiaTheme="minorEastAsia"/>
                <w:kern w:val="0"/>
                <w:sz w:val="20"/>
                <w:szCs w:val="20"/>
                <w:lang w:val="en-US" w:eastAsia="zh-CN"/>
              </w:rPr>
              <w:t>26</w:t>
            </w: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81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97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71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pPr>
          </w:p>
        </w:tc>
        <w:tc>
          <w:tcPr>
            <w:tcW w:w="6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center"/>
              <w:textAlignment w:val="auto"/>
              <w:rPr>
                <w:rFonts w:hint="default" w:eastAsiaTheme="minorEastAsia"/>
                <w:lang w:val="en-US" w:eastAsia="zh-CN"/>
              </w:rPr>
            </w:pPr>
            <w:r>
              <w:rPr>
                <w:rFonts w:hint="eastAsia" w:cs="Calibri" w:eastAsiaTheme="minorEastAsia"/>
                <w:kern w:val="0"/>
                <w:sz w:val="20"/>
                <w:szCs w:val="20"/>
                <w:lang w:val="en-US" w:eastAsia="zh-CN"/>
              </w:rPr>
              <w:t>26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62" w:type="dxa"/>
            <w:gridSpan w:val="3"/>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hint="eastAsia" w:ascii="宋体" w:hAnsi="宋体" w:eastAsia="宋体" w:cs="宋体"/>
                <w:kern w:val="0"/>
                <w:sz w:val="20"/>
                <w:szCs w:val="20"/>
              </w:rPr>
              <w:t>四、结转下年度继续办理</w:t>
            </w:r>
          </w:p>
        </w:tc>
        <w:tc>
          <w:tcPr>
            <w:tcW w:w="81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5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81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97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71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widowControl/>
              <w:kinsoku/>
              <w:wordWrap/>
              <w:overflowPunct/>
              <w:topLinePunct w:val="0"/>
              <w:autoSpaceDE/>
              <w:autoSpaceDN/>
              <w:bidi w:val="0"/>
              <w:adjustRightInd/>
              <w:snapToGrid/>
              <w:spacing w:line="600" w:lineRule="exact"/>
              <w:jc w:val="left"/>
              <w:textAlignment w:val="auto"/>
            </w:pPr>
            <w:r>
              <w:rPr>
                <w:rFonts w:ascii="Calibri" w:hAnsi="Calibri" w:cs="Calibri" w:eastAsiaTheme="minorEastAsia"/>
                <w:kern w:val="0"/>
                <w:sz w:val="20"/>
                <w:szCs w:val="20"/>
              </w:rPr>
              <w:t> </w:t>
            </w:r>
          </w:p>
        </w:tc>
        <w:tc>
          <w:tcPr>
            <w:tcW w:w="6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ageBreakBefore w:val="0"/>
              <w:kinsoku/>
              <w:wordWrap/>
              <w:overflowPunct/>
              <w:topLinePunct w:val="0"/>
              <w:autoSpaceDE/>
              <w:autoSpaceDN/>
              <w:bidi w:val="0"/>
              <w:adjustRightInd/>
              <w:snapToGrid/>
              <w:spacing w:line="600" w:lineRule="exact"/>
              <w:jc w:val="left"/>
              <w:textAlignment w:val="auto"/>
              <w:rPr>
                <w:rFonts w:ascii="宋体"/>
                <w:sz w:val="24"/>
                <w:szCs w:val="24"/>
              </w:rPr>
            </w:pPr>
          </w:p>
        </w:tc>
      </w:tr>
    </w:tbl>
    <w:p>
      <w:pPr>
        <w:numPr>
          <w:ilvl w:val="0"/>
          <w:numId w:val="0"/>
        </w:numPr>
        <w:spacing w:line="540" w:lineRule="exact"/>
        <w:rPr>
          <w:rFonts w:hint="eastAsia" w:ascii="黑体" w:hAnsi="黑体" w:eastAsia="黑体" w:cs="黑体"/>
          <w:bCs/>
          <w:color w:val="auto"/>
          <w:kern w:val="0"/>
          <w:sz w:val="32"/>
          <w:szCs w:val="32"/>
          <w:shd w:val="clear" w:color="auto" w:fill="FFFFFF"/>
          <w:lang w:val="en-US" w:eastAsia="zh-CN" w:bidi="ar"/>
        </w:rPr>
      </w:pPr>
    </w:p>
    <w:p>
      <w:pPr>
        <w:numPr>
          <w:ilvl w:val="0"/>
          <w:numId w:val="0"/>
        </w:numPr>
        <w:spacing w:line="540" w:lineRule="exact"/>
        <w:ind w:firstLine="640" w:firstLineChars="200"/>
        <w:rPr>
          <w:rFonts w:hint="eastAsia" w:ascii="黑体" w:hAnsi="黑体" w:eastAsia="黑体" w:cs="黑体"/>
          <w:bCs/>
          <w:color w:val="auto"/>
          <w:kern w:val="0"/>
          <w:sz w:val="32"/>
          <w:szCs w:val="32"/>
          <w:shd w:val="clear" w:color="auto" w:fill="FFFFFF"/>
          <w:lang w:val="en-US" w:eastAsia="zh-CN" w:bidi="ar"/>
        </w:rPr>
      </w:pPr>
      <w:r>
        <w:rPr>
          <w:rFonts w:hint="eastAsia" w:ascii="黑体" w:hAnsi="黑体" w:eastAsia="黑体" w:cs="黑体"/>
          <w:bCs/>
          <w:color w:val="auto"/>
          <w:kern w:val="0"/>
          <w:sz w:val="32"/>
          <w:szCs w:val="32"/>
          <w:shd w:val="clear" w:color="auto" w:fill="FFFFFF"/>
          <w:lang w:val="en-US" w:eastAsia="zh-CN" w:bidi="ar"/>
        </w:rPr>
        <w:t>四、政府信息公开行政复议、行政诉讼情况</w:t>
      </w:r>
    </w:p>
    <w:tbl>
      <w:tblPr>
        <w:tblStyle w:val="4"/>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568"/>
        <w:gridCol w:w="568"/>
        <w:gridCol w:w="568"/>
        <w:gridCol w:w="568"/>
        <w:gridCol w:w="568"/>
        <w:gridCol w:w="568"/>
        <w:gridCol w:w="568"/>
        <w:gridCol w:w="568"/>
        <w:gridCol w:w="568"/>
        <w:gridCol w:w="568"/>
        <w:gridCol w:w="568"/>
        <w:gridCol w:w="568"/>
        <w:gridCol w:w="568"/>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5"/>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行政复议</w:t>
            </w:r>
            <w:r>
              <w:rPr>
                <w:rFonts w:ascii="仿宋" w:hAnsi="仿宋" w:eastAsia="仿宋" w:cs="仿宋"/>
                <w:color w:val="000000" w:themeColor="text1"/>
                <w:sz w:val="24"/>
                <w14:textFill>
                  <w14:solidFill>
                    <w14:schemeClr w14:val="tx1"/>
                  </w14:solidFill>
                </w14:textFill>
              </w:rPr>
              <w:br w:type="textWrapping"/>
            </w:r>
            <w:r>
              <w:rPr>
                <w:rFonts w:hint="eastAsia" w:ascii="仿宋" w:hAnsi="仿宋" w:eastAsia="仿宋" w:cs="仿宋"/>
                <w:b/>
                <w:color w:val="000000" w:themeColor="text1"/>
                <w:sz w:val="24"/>
                <w14:textFill>
                  <w14:solidFill>
                    <w14:schemeClr w14:val="tx1"/>
                  </w14:solidFill>
                </w14:textFill>
              </w:rPr>
              <w:t>（因政府信息公开被行政复议）</w:t>
            </w:r>
          </w:p>
        </w:tc>
        <w:tc>
          <w:tcPr>
            <w:tcW w:w="5680" w:type="dxa"/>
            <w:gridSpan w:val="10"/>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行政诉讼</w:t>
            </w:r>
            <w:r>
              <w:rPr>
                <w:rFonts w:ascii="仿宋" w:hAnsi="仿宋" w:eastAsia="仿宋" w:cs="仿宋"/>
                <w:color w:val="000000" w:themeColor="text1"/>
                <w:sz w:val="24"/>
                <w14:textFill>
                  <w14:solidFill>
                    <w14:schemeClr w14:val="tx1"/>
                  </w14:solidFill>
                </w14:textFill>
              </w:rPr>
              <w:br w:type="textWrapping"/>
            </w:r>
            <w:r>
              <w:rPr>
                <w:rFonts w:hint="eastAsia" w:ascii="仿宋" w:hAnsi="仿宋" w:eastAsia="仿宋" w:cs="仿宋"/>
                <w:b/>
                <w:color w:val="000000" w:themeColor="text1"/>
                <w:sz w:val="24"/>
                <w14:textFill>
                  <w14:solidFill>
                    <w14:schemeClr w14:val="tx1"/>
                  </w14:solidFill>
                </w14:textFill>
              </w:rPr>
              <w:t>（因政府信息公开被行政诉讼）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color w:val="333333"/>
                <w:sz w:val="24"/>
                <w:shd w:val="clear" w:color="auto" w:fill="FFFFFF"/>
              </w:rPr>
              <w:t>未经复议直接起诉</w:t>
            </w:r>
          </w:p>
        </w:tc>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0</w:t>
            </w:r>
          </w:p>
        </w:tc>
      </w:tr>
    </w:tbl>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bCs/>
          <w:color w:val="auto"/>
          <w:sz w:val="32"/>
          <w:szCs w:val="32"/>
          <w:shd w:val="clear" w:color="auto" w:fill="FFFFFF"/>
          <w:lang w:val="en-US" w:eastAsia="zh-CN"/>
        </w:rPr>
      </w:pPr>
      <w:r>
        <w:rPr>
          <w:rFonts w:hint="eastAsia" w:ascii="黑体" w:hAnsi="黑体" w:eastAsia="黑体" w:cs="黑体"/>
          <w:bCs/>
          <w:color w:val="auto"/>
          <w:sz w:val="32"/>
          <w:szCs w:val="32"/>
          <w:shd w:val="clear" w:color="auto" w:fill="FFFFFF"/>
          <w:lang w:val="en-US" w:eastAsia="zh-CN"/>
        </w:rPr>
        <w:t>五、存在的主要问题及改进措施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eastAsia" w:ascii="楷体_GB2312" w:hAnsi="楷体_GB2312" w:eastAsia="楷体_GB2312" w:cs="楷体_GB2312"/>
          <w:b/>
          <w:bCs/>
          <w:i w:val="0"/>
          <w:caps w:val="0"/>
          <w:color w:val="auto"/>
          <w:spacing w:val="0"/>
          <w:kern w:val="2"/>
          <w:sz w:val="32"/>
          <w:szCs w:val="32"/>
          <w:shd w:val="clear" w:fill="FFFFFF"/>
          <w:lang w:val="en-US" w:eastAsia="zh-CN" w:bidi="ar-SA"/>
        </w:rPr>
      </w:pPr>
      <w:r>
        <w:rPr>
          <w:rFonts w:hint="eastAsia" w:ascii="楷体_GB2312" w:hAnsi="楷体_GB2312" w:eastAsia="楷体_GB2312" w:cs="楷体_GB2312"/>
          <w:b/>
          <w:bCs/>
          <w:i w:val="0"/>
          <w:caps w:val="0"/>
          <w:color w:val="auto"/>
          <w:spacing w:val="0"/>
          <w:kern w:val="2"/>
          <w:sz w:val="32"/>
          <w:szCs w:val="32"/>
          <w:shd w:val="clear" w:fill="FFFFFF"/>
          <w:lang w:val="en-US" w:eastAsia="zh-CN" w:bidi="ar-SA"/>
        </w:rPr>
        <w:t>（一）存在的主要问题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eastAsia="仿宋_GB2312"/>
          <w:kern w:val="2"/>
          <w:sz w:val="32"/>
          <w:szCs w:val="32"/>
          <w:lang w:val="en-US" w:eastAsia="zh-CN"/>
        </w:rPr>
      </w:pPr>
      <w:r>
        <w:rPr>
          <w:rFonts w:hint="eastAsia" w:eastAsia="仿宋_GB2312"/>
          <w:kern w:val="2"/>
          <w:sz w:val="32"/>
          <w:szCs w:val="32"/>
          <w:lang w:val="en-US" w:eastAsia="zh-CN"/>
        </w:rPr>
        <w:t>1、公开内容需要进一步深化。主动公开的政府信息内容还不够全面，形式还不够丰富，质量还不够高，与公众的需求还存在一些距离。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eastAsia="仿宋_GB2312"/>
          <w:kern w:val="2"/>
          <w:sz w:val="32"/>
          <w:szCs w:val="32"/>
          <w:lang w:val="en-US" w:eastAsia="zh-CN"/>
        </w:rPr>
      </w:pPr>
      <w:r>
        <w:rPr>
          <w:rFonts w:hint="eastAsia" w:eastAsia="仿宋_GB2312"/>
          <w:kern w:val="2"/>
          <w:sz w:val="32"/>
          <w:szCs w:val="32"/>
          <w:lang w:val="en-US" w:eastAsia="zh-CN"/>
        </w:rPr>
        <w:t>2、政民互动需要进一步加强。对群众关心关切的热点问题回应不够主动，对重大决策过程及进展等情况公开的较少。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eastAsia="仿宋_GB2312"/>
          <w:kern w:val="2"/>
          <w:sz w:val="32"/>
          <w:szCs w:val="32"/>
          <w:lang w:val="en-US" w:eastAsia="zh-CN"/>
        </w:rPr>
      </w:pPr>
      <w:r>
        <w:rPr>
          <w:rFonts w:hint="eastAsia" w:eastAsia="仿宋_GB2312"/>
          <w:kern w:val="2"/>
          <w:sz w:val="32"/>
          <w:szCs w:val="32"/>
          <w:lang w:val="en-US" w:eastAsia="zh-CN"/>
        </w:rPr>
        <w:t>3、工作机制需要进一步健全。在文件报备、审查发布、监督约束等方面还存在着工作机制不健全的问题，信息公开意识和信息公开水平需要进一步加强。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eastAsia" w:ascii="楷体_GB2312" w:hAnsi="楷体_GB2312" w:eastAsia="楷体_GB2312" w:cs="楷体_GB2312"/>
          <w:b/>
          <w:bCs/>
          <w:i w:val="0"/>
          <w:caps w:val="0"/>
          <w:color w:val="auto"/>
          <w:spacing w:val="0"/>
          <w:kern w:val="2"/>
          <w:sz w:val="32"/>
          <w:szCs w:val="32"/>
          <w:shd w:val="clear" w:fill="FFFFFF"/>
          <w:lang w:val="en-US" w:eastAsia="zh-CN" w:bidi="ar-SA"/>
        </w:rPr>
      </w:pPr>
      <w:r>
        <w:rPr>
          <w:rFonts w:hint="eastAsia" w:ascii="楷体_GB2312" w:hAnsi="楷体_GB2312" w:eastAsia="楷体_GB2312" w:cs="楷体_GB2312"/>
          <w:b/>
          <w:bCs/>
          <w:i w:val="0"/>
          <w:caps w:val="0"/>
          <w:color w:val="auto"/>
          <w:spacing w:val="0"/>
          <w:kern w:val="2"/>
          <w:sz w:val="32"/>
          <w:szCs w:val="32"/>
          <w:shd w:val="clear" w:fill="FFFFFF"/>
          <w:lang w:val="en-US" w:eastAsia="zh-CN" w:bidi="ar-SA"/>
        </w:rPr>
        <w:t>（二）改进措施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eastAsia="仿宋_GB2312"/>
          <w:kern w:val="2"/>
          <w:sz w:val="32"/>
          <w:szCs w:val="32"/>
          <w:lang w:val="en-US" w:eastAsia="zh-CN"/>
        </w:rPr>
      </w:pPr>
      <w:r>
        <w:rPr>
          <w:rFonts w:hint="eastAsia" w:eastAsia="仿宋_GB2312"/>
          <w:kern w:val="2"/>
          <w:sz w:val="32"/>
          <w:szCs w:val="32"/>
          <w:lang w:val="en-US" w:eastAsia="zh-CN"/>
        </w:rPr>
        <w:t>1、充实公开内容，提高公开质量。按照“以公开为原则，不公开为例外”的总体要求，进一步做好公开和免予公开两类信息的界定，及时公开政务信息，提高信息公开质量和时效。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eastAsia="仿宋_GB2312"/>
          <w:kern w:val="2"/>
          <w:sz w:val="32"/>
          <w:szCs w:val="32"/>
          <w:lang w:val="en-US" w:eastAsia="zh-CN"/>
        </w:rPr>
      </w:pPr>
      <w:r>
        <w:rPr>
          <w:rFonts w:hint="eastAsia" w:eastAsia="仿宋_GB2312"/>
          <w:kern w:val="2"/>
          <w:sz w:val="32"/>
          <w:szCs w:val="32"/>
          <w:lang w:val="en-US" w:eastAsia="zh-CN"/>
        </w:rPr>
        <w:t>2、加强公众参与和解读回应。对公众关注度高的事项进行梳理，深挖信息来源，多渠道、全方位、生动化的开展政策解读。对群众关切的重大问题，充分征求公众意见，对公众存在疑惑的问题，及时作出解释说明，推动科学决策、民主决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eastAsia="仿宋_GB2312"/>
          <w:kern w:val="2"/>
          <w:sz w:val="32"/>
          <w:szCs w:val="32"/>
          <w:lang w:val="en-US" w:eastAsia="zh-CN"/>
        </w:rPr>
      </w:pPr>
      <w:r>
        <w:rPr>
          <w:rFonts w:hint="eastAsia" w:eastAsia="仿宋_GB2312"/>
          <w:kern w:val="2"/>
          <w:sz w:val="32"/>
          <w:szCs w:val="32"/>
          <w:lang w:val="en-US" w:eastAsia="zh-CN"/>
        </w:rPr>
        <w:t>3、强化公开制度和能力建设。进一步健全政府信息公开内容审查和更新维护、培训宣传等工作制度，把政务公开要求贯穿到日常工作中，确保政府信息公开各项要求落到实处。</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bCs/>
          <w:color w:val="auto"/>
          <w:sz w:val="32"/>
          <w:szCs w:val="32"/>
          <w:shd w:val="clear" w:color="auto" w:fill="FFFFFF"/>
          <w:lang w:val="en-US" w:eastAsia="zh-CN"/>
        </w:rPr>
      </w:pPr>
      <w:r>
        <w:rPr>
          <w:rFonts w:hint="eastAsia" w:ascii="黑体" w:hAnsi="黑体" w:eastAsia="黑体" w:cs="黑体"/>
          <w:bCs/>
          <w:color w:val="auto"/>
          <w:sz w:val="32"/>
          <w:szCs w:val="32"/>
          <w:shd w:val="clear" w:color="auto" w:fill="FFFFFF"/>
          <w:lang w:val="en-US" w:eastAsia="zh-CN"/>
        </w:rPr>
        <w:t>六、其他需要报告的事项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eastAsia="仿宋_GB2312"/>
          <w:kern w:val="2"/>
          <w:sz w:val="32"/>
          <w:szCs w:val="32"/>
          <w:lang w:val="en-US" w:eastAsia="zh-CN"/>
        </w:rPr>
      </w:pPr>
      <w:r>
        <w:rPr>
          <w:rFonts w:hint="eastAsia" w:eastAsia="仿宋_GB2312"/>
          <w:kern w:val="2"/>
          <w:sz w:val="32"/>
          <w:szCs w:val="32"/>
          <w:lang w:val="en-US" w:eastAsia="zh-CN"/>
        </w:rPr>
        <w:t>没有其他需要报告的事项。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sz w:val="32"/>
          <w:szCs w:val="32"/>
          <w:lang w:eastAsia="zh-CN"/>
        </w:rPr>
      </w:pPr>
      <w:r>
        <w:rPr>
          <w:rFonts w:hint="eastAsia"/>
          <w:sz w:val="32"/>
          <w:szCs w:val="32"/>
          <w:lang w:eastAsia="zh-CN"/>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sz w:val="32"/>
          <w:szCs w:val="32"/>
          <w:lang w:eastAsia="zh-CN"/>
        </w:rPr>
      </w:pPr>
      <w:r>
        <w:rPr>
          <w:rFonts w:hint="eastAsia"/>
          <w:sz w:val="32"/>
          <w:szCs w:val="32"/>
          <w:lang w:eastAsia="zh-CN"/>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right"/>
        <w:textAlignment w:val="auto"/>
        <w:rPr>
          <w:rFonts w:hint="eastAsia" w:eastAsia="仿宋_GB2312"/>
          <w:kern w:val="2"/>
          <w:sz w:val="32"/>
          <w:szCs w:val="32"/>
          <w:lang w:val="en-US" w:eastAsia="zh-CN"/>
        </w:rPr>
      </w:pPr>
      <w:r>
        <w:rPr>
          <w:rFonts w:hint="eastAsia" w:eastAsia="仿宋_GB2312"/>
          <w:kern w:val="2"/>
          <w:sz w:val="32"/>
          <w:szCs w:val="32"/>
          <w:lang w:val="en-US" w:eastAsia="zh-CN"/>
        </w:rPr>
        <w:t>赣州市自然资源局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right"/>
        <w:textAlignment w:val="auto"/>
        <w:rPr>
          <w:rFonts w:hint="eastAsia" w:eastAsia="仿宋_GB2312"/>
          <w:kern w:val="2"/>
          <w:sz w:val="32"/>
          <w:szCs w:val="32"/>
          <w:lang w:val="en-US" w:eastAsia="zh-CN"/>
        </w:rPr>
      </w:pPr>
      <w:r>
        <w:rPr>
          <w:rFonts w:hint="eastAsia" w:eastAsia="仿宋_GB2312"/>
          <w:kern w:val="2"/>
          <w:sz w:val="32"/>
          <w:szCs w:val="32"/>
          <w:lang w:val="en-US" w:eastAsia="zh-CN"/>
        </w:rPr>
        <w:t>2020年1月28日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sz w:val="32"/>
          <w:szCs w:val="32"/>
          <w:lang w:eastAsia="zh-CN"/>
        </w:rPr>
      </w:pPr>
      <w:r>
        <w:rPr>
          <w:rFonts w:hint="eastAsia"/>
          <w:sz w:val="32"/>
          <w:szCs w:val="32"/>
          <w:lang w:eastAsia="zh-CN"/>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panose1 w:val="02010600030101010101"/>
    <w:charset w:val="34"/>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FreeSerif">
    <w:panose1 w:val="02020603050405020304"/>
    <w:charset w:val="00"/>
    <w:family w:val="auto"/>
    <w:pitch w:val="default"/>
    <w:sig w:usb0="E59FAFFF" w:usb1="C200FDFF" w:usb2="43501B29" w:usb3="04000043" w:csb0="600101FF" w:csb1="FFFF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B71157"/>
    <w:rsid w:val="072F4BA5"/>
    <w:rsid w:val="07C373B4"/>
    <w:rsid w:val="095C19FB"/>
    <w:rsid w:val="0CA200C9"/>
    <w:rsid w:val="0F42566A"/>
    <w:rsid w:val="0FE32618"/>
    <w:rsid w:val="101D7A89"/>
    <w:rsid w:val="13745FD1"/>
    <w:rsid w:val="167B1403"/>
    <w:rsid w:val="16933254"/>
    <w:rsid w:val="17534F7D"/>
    <w:rsid w:val="18634327"/>
    <w:rsid w:val="191B003F"/>
    <w:rsid w:val="1B931963"/>
    <w:rsid w:val="1EBA0825"/>
    <w:rsid w:val="1ECD1ABB"/>
    <w:rsid w:val="237E739A"/>
    <w:rsid w:val="23B06487"/>
    <w:rsid w:val="2480713E"/>
    <w:rsid w:val="26193974"/>
    <w:rsid w:val="28184340"/>
    <w:rsid w:val="2A18799C"/>
    <w:rsid w:val="2C240119"/>
    <w:rsid w:val="2E770F90"/>
    <w:rsid w:val="3B0B3F28"/>
    <w:rsid w:val="3DA47EE6"/>
    <w:rsid w:val="3F063000"/>
    <w:rsid w:val="3FE1512E"/>
    <w:rsid w:val="3FF40B6C"/>
    <w:rsid w:val="417F42E4"/>
    <w:rsid w:val="41F23ADF"/>
    <w:rsid w:val="44A43ADF"/>
    <w:rsid w:val="45732D5C"/>
    <w:rsid w:val="47321E74"/>
    <w:rsid w:val="4C8F5A17"/>
    <w:rsid w:val="519D4381"/>
    <w:rsid w:val="55B84773"/>
    <w:rsid w:val="566E50F8"/>
    <w:rsid w:val="56857A37"/>
    <w:rsid w:val="5749601F"/>
    <w:rsid w:val="584E0A31"/>
    <w:rsid w:val="59941E24"/>
    <w:rsid w:val="5B722631"/>
    <w:rsid w:val="5B754FE2"/>
    <w:rsid w:val="5D103073"/>
    <w:rsid w:val="5DAB3C5B"/>
    <w:rsid w:val="5FCE6A83"/>
    <w:rsid w:val="609D2718"/>
    <w:rsid w:val="62090837"/>
    <w:rsid w:val="633879DB"/>
    <w:rsid w:val="64681E68"/>
    <w:rsid w:val="64A7765C"/>
    <w:rsid w:val="66666C07"/>
    <w:rsid w:val="67242EFE"/>
    <w:rsid w:val="67285E1B"/>
    <w:rsid w:val="6A8A16D9"/>
    <w:rsid w:val="6EB526D3"/>
    <w:rsid w:val="6EC41F3F"/>
    <w:rsid w:val="6EDF5E03"/>
    <w:rsid w:val="71023D21"/>
    <w:rsid w:val="72B85FE2"/>
    <w:rsid w:val="749B3D1A"/>
    <w:rsid w:val="76E04976"/>
    <w:rsid w:val="76E94E61"/>
    <w:rsid w:val="7B440FF1"/>
    <w:rsid w:val="7C9E6815"/>
    <w:rsid w:val="7D7C7DE7"/>
    <w:rsid w:val="7EEE3CA8"/>
    <w:rsid w:val="7F2A72C8"/>
    <w:rsid w:val="7FFFC8F5"/>
    <w:rsid w:val="9FD57D66"/>
    <w:rsid w:val="A3EFDCF2"/>
    <w:rsid w:val="BEA8FD43"/>
    <w:rsid w:val="E67F4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136</TotalTime>
  <ScaleCrop>false</ScaleCrop>
  <LinksUpToDate>false</LinksUpToDate>
  <CharactersWithSpaces>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2021-01-07T09:14:00Z</dcterms:created>
  <dc:creator>Administrator</dc:creator>
  <cp:lastModifiedBy>user</cp:lastModifiedBy>
  <cp:lastPrinted>2021-01-28T14:27:00Z</cp:lastPrinted>
  <dcterms:modified xsi:type="dcterms:W3CDTF">2021-05-11T15:28:10Z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