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line="620" w:lineRule="exact"/>
        <w:jc w:val="center"/>
        <w:rPr>
          <w:rFonts w:ascii="Times New Roman" w:hAnsi="Times New Roman" w:eastAsia="方正小标宋简体" w:cs="Times New Roman"/>
          <w:sz w:val="44"/>
          <w:szCs w:val="44"/>
          <w:shd w:val="clear" w:color="auto" w:fill="FFFFFF"/>
        </w:rPr>
      </w:pPr>
    </w:p>
    <w:p>
      <w:pPr>
        <w:autoSpaceDE w:val="0"/>
        <w:autoSpaceDN w:val="0"/>
        <w:spacing w:line="620" w:lineRule="exact"/>
        <w:jc w:val="center"/>
        <w:rPr>
          <w:rFonts w:ascii="Times New Roman" w:hAnsi="Times New Roman" w:eastAsia="方正小标宋简体" w:cs="Times New Roman"/>
          <w:sz w:val="44"/>
          <w:szCs w:val="44"/>
          <w:shd w:val="clear" w:color="auto" w:fill="FFFFFF"/>
        </w:rPr>
      </w:pPr>
    </w:p>
    <w:p>
      <w:pPr>
        <w:autoSpaceDE w:val="0"/>
        <w:autoSpaceDN w:val="0"/>
        <w:spacing w:line="620" w:lineRule="exact"/>
        <w:jc w:val="center"/>
        <w:rPr>
          <w:rFonts w:ascii="Times New Roman" w:hAnsi="Times New Roman" w:eastAsia="方正小标宋简体" w:cs="Times New Roman"/>
          <w:sz w:val="44"/>
          <w:szCs w:val="44"/>
          <w:shd w:val="clear" w:color="auto" w:fill="FFFFFF"/>
        </w:rPr>
      </w:pPr>
    </w:p>
    <w:p>
      <w:pPr>
        <w:autoSpaceDE w:val="0"/>
        <w:autoSpaceDN w:val="0"/>
        <w:spacing w:line="620" w:lineRule="exact"/>
        <w:jc w:val="center"/>
        <w:rPr>
          <w:rFonts w:ascii="Times New Roman" w:hAnsi="Times New Roman" w:eastAsia="方正小标宋简体" w:cs="Times New Roman"/>
          <w:sz w:val="44"/>
          <w:szCs w:val="44"/>
          <w:shd w:val="clear" w:color="auto" w:fill="FFFFFF"/>
        </w:rPr>
      </w:pPr>
      <w:r>
        <w:rPr>
          <w:rFonts w:ascii="Times New Roman" w:hAnsi="Times New Roman" w:eastAsia="方正小标宋简体" w:cs="Times New Roman"/>
          <w:sz w:val="44"/>
          <w:szCs w:val="44"/>
          <w:shd w:val="clear" w:color="auto" w:fill="FFFFFF"/>
        </w:rPr>
        <w:t>赣州市人力资源和社会保障局</w:t>
      </w:r>
    </w:p>
    <w:p>
      <w:pPr>
        <w:autoSpaceDE w:val="0"/>
        <w:autoSpaceDN w:val="0"/>
        <w:spacing w:line="620" w:lineRule="exact"/>
        <w:jc w:val="center"/>
        <w:rPr>
          <w:rFonts w:hint="default" w:ascii="Times New Roman" w:hAnsi="Times New Roman" w:eastAsia="方正小标宋简体" w:cs="Times New Roman"/>
          <w:sz w:val="44"/>
          <w:szCs w:val="44"/>
          <w:shd w:val="clear" w:color="auto" w:fill="FFFFFF"/>
          <w:lang w:val="en-US" w:eastAsia="zh-CN"/>
        </w:rPr>
      </w:pPr>
      <w:r>
        <w:rPr>
          <w:rFonts w:ascii="Times New Roman" w:hAnsi="Times New Roman" w:eastAsia="方正小标宋简体" w:cs="Times New Roman"/>
          <w:sz w:val="44"/>
          <w:szCs w:val="44"/>
          <w:shd w:val="clear" w:color="auto" w:fill="FFFFFF"/>
        </w:rPr>
        <w:t>2020年政府信息公开工作年度报告</w:t>
      </w:r>
    </w:p>
    <w:p>
      <w:pPr>
        <w:autoSpaceDE w:val="0"/>
        <w:autoSpaceDN w:val="0"/>
        <w:spacing w:line="620" w:lineRule="exact"/>
        <w:jc w:val="center"/>
        <w:rPr>
          <w:rFonts w:ascii="Times New Roman" w:hAnsi="Times New Roman" w:eastAsia="方正小标宋简体" w:cs="Times New Roman"/>
          <w:sz w:val="44"/>
          <w:szCs w:val="44"/>
          <w:shd w:val="clear" w:color="auto" w:fill="FFFFFF"/>
        </w:rPr>
      </w:pPr>
    </w:p>
    <w:p>
      <w:pPr>
        <w:autoSpaceDE w:val="0"/>
        <w:autoSpaceDN w:val="0"/>
        <w:spacing w:line="620" w:lineRule="exact"/>
        <w:ind w:firstLine="640" w:firstLineChars="200"/>
        <w:rPr>
          <w:rStyle w:val="8"/>
          <w:rFonts w:ascii="Times New Roman" w:hAnsi="Times New Roman" w:eastAsia="仿宋_GB2312" w:cs="Times New Roman"/>
          <w:color w:val="auto"/>
          <w:sz w:val="32"/>
          <w:szCs w:val="32"/>
          <w:u w:val="none"/>
          <w:shd w:val="clear" w:color="auto" w:fill="FFFFFF"/>
        </w:rPr>
      </w:pPr>
      <w:r>
        <w:rPr>
          <w:rFonts w:ascii="Times New Roman" w:hAnsi="Times New Roman" w:eastAsia="仿宋_GB2312" w:cs="Times New Roman"/>
          <w:sz w:val="32"/>
          <w:szCs w:val="32"/>
          <w:shd w:val="clear" w:color="auto" w:fill="FFFFFF"/>
        </w:rPr>
        <w:t>根据《中华人民共和国政府信息公开条例》和政务公开有关工作要求，特编制赣州市人力资源和社会保障局2020年政府信息公开工作年度报告。报告包括总体情况、主动公开政府信息情况、收到和处理政府信息公开申请情况、政府信息公开行政复议及行政诉讼情况、政府信息公开工作存在的主要问题及改进情况等部分。本报告中所列数据的统计期限从</w:t>
      </w:r>
      <w:r>
        <w:rPr>
          <w:rFonts w:ascii="Times New Roman" w:hAnsi="Times New Roman" w:eastAsia="宋体" w:cs="Times New Roman"/>
          <w:sz w:val="32"/>
          <w:szCs w:val="32"/>
          <w:shd w:val="clear" w:color="auto" w:fill="FFFFFF"/>
        </w:rPr>
        <w:t>2020</w:t>
      </w:r>
      <w:r>
        <w:rPr>
          <w:rFonts w:ascii="Times New Roman" w:hAnsi="Times New Roman" w:eastAsia="仿宋_GB2312" w:cs="Times New Roman"/>
          <w:sz w:val="32"/>
          <w:szCs w:val="32"/>
          <w:shd w:val="clear" w:color="auto" w:fill="FFFFFF"/>
        </w:rPr>
        <w:t>年</w:t>
      </w:r>
      <w:r>
        <w:rPr>
          <w:rFonts w:ascii="Times New Roman" w:hAnsi="Times New Roman" w:eastAsia="宋体" w:cs="Times New Roman"/>
          <w:sz w:val="32"/>
          <w:szCs w:val="32"/>
          <w:shd w:val="clear" w:color="auto" w:fill="FFFFFF"/>
        </w:rPr>
        <w:t>1</w:t>
      </w:r>
      <w:r>
        <w:rPr>
          <w:rFonts w:ascii="Times New Roman" w:hAnsi="Times New Roman" w:eastAsia="仿宋_GB2312" w:cs="Times New Roman"/>
          <w:sz w:val="32"/>
          <w:szCs w:val="32"/>
          <w:shd w:val="clear" w:color="auto" w:fill="FFFFFF"/>
        </w:rPr>
        <w:t>月</w:t>
      </w:r>
      <w:r>
        <w:rPr>
          <w:rFonts w:ascii="Times New Roman" w:hAnsi="Times New Roman" w:eastAsia="宋体" w:cs="Times New Roman"/>
          <w:sz w:val="32"/>
          <w:szCs w:val="32"/>
          <w:shd w:val="clear" w:color="auto" w:fill="FFFFFF"/>
        </w:rPr>
        <w:t>1</w:t>
      </w:r>
      <w:r>
        <w:rPr>
          <w:rFonts w:ascii="Times New Roman" w:hAnsi="Times New Roman" w:eastAsia="仿宋_GB2312" w:cs="Times New Roman"/>
          <w:sz w:val="32"/>
          <w:szCs w:val="32"/>
          <w:shd w:val="clear" w:color="auto" w:fill="FFFFFF"/>
        </w:rPr>
        <w:t>日至</w:t>
      </w:r>
      <w:r>
        <w:rPr>
          <w:rFonts w:ascii="Times New Roman" w:hAnsi="Times New Roman" w:eastAsia="宋体" w:cs="Times New Roman"/>
          <w:sz w:val="32"/>
          <w:szCs w:val="32"/>
          <w:shd w:val="clear" w:color="auto" w:fill="FFFFFF"/>
        </w:rPr>
        <w:t>2020</w:t>
      </w:r>
      <w:r>
        <w:rPr>
          <w:rFonts w:ascii="Times New Roman" w:hAnsi="Times New Roman" w:eastAsia="仿宋_GB2312" w:cs="Times New Roman"/>
          <w:sz w:val="32"/>
          <w:szCs w:val="32"/>
          <w:shd w:val="clear" w:color="auto" w:fill="FFFFFF"/>
        </w:rPr>
        <w:t>年</w:t>
      </w:r>
      <w:r>
        <w:rPr>
          <w:rFonts w:ascii="Times New Roman" w:hAnsi="Times New Roman" w:eastAsia="宋体" w:cs="Times New Roman"/>
          <w:sz w:val="32"/>
          <w:szCs w:val="32"/>
          <w:shd w:val="clear" w:color="auto" w:fill="FFFFFF"/>
        </w:rPr>
        <w:t>12</w:t>
      </w:r>
      <w:r>
        <w:rPr>
          <w:rFonts w:ascii="Times New Roman" w:hAnsi="Times New Roman" w:eastAsia="仿宋_GB2312" w:cs="Times New Roman"/>
          <w:sz w:val="32"/>
          <w:szCs w:val="32"/>
          <w:shd w:val="clear" w:color="auto" w:fill="FFFFFF"/>
        </w:rPr>
        <w:t>月</w:t>
      </w:r>
      <w:r>
        <w:rPr>
          <w:rFonts w:ascii="Times New Roman" w:hAnsi="Times New Roman" w:eastAsia="宋体" w:cs="Times New Roman"/>
          <w:sz w:val="32"/>
          <w:szCs w:val="32"/>
          <w:shd w:val="clear" w:color="auto" w:fill="FFFFFF"/>
        </w:rPr>
        <w:t>31</w:t>
      </w:r>
      <w:r>
        <w:rPr>
          <w:rFonts w:ascii="Times New Roman" w:hAnsi="Times New Roman" w:eastAsia="仿宋_GB2312" w:cs="Times New Roman"/>
          <w:sz w:val="32"/>
          <w:szCs w:val="32"/>
          <w:shd w:val="clear" w:color="auto" w:fill="FFFFFF"/>
        </w:rPr>
        <w:t>日止。本报告将在市政府网站</w:t>
      </w:r>
      <w:r>
        <w:rPr>
          <w:rFonts w:ascii="Times New Roman" w:hAnsi="Times New Roman" w:eastAsia="宋体" w:cs="Times New Roman"/>
          <w:sz w:val="32"/>
          <w:szCs w:val="32"/>
          <w:shd w:val="clear" w:color="auto" w:fill="FFFFFF"/>
        </w:rPr>
        <w:t>“</w:t>
      </w:r>
      <w:r>
        <w:rPr>
          <w:rFonts w:ascii="Times New Roman" w:hAnsi="Times New Roman" w:eastAsia="仿宋_GB2312" w:cs="Times New Roman"/>
          <w:sz w:val="32"/>
          <w:szCs w:val="32"/>
          <w:shd w:val="clear" w:color="auto" w:fill="FFFFFF"/>
        </w:rPr>
        <w:t>政府信息公开专栏</w:t>
      </w:r>
      <w:r>
        <w:rPr>
          <w:rFonts w:ascii="Times New Roman" w:hAnsi="Times New Roman" w:eastAsia="宋体" w:cs="Times New Roman"/>
          <w:sz w:val="32"/>
          <w:szCs w:val="32"/>
          <w:shd w:val="clear" w:color="auto" w:fill="FFFFFF"/>
        </w:rPr>
        <w:t>”</w:t>
      </w:r>
      <w:r>
        <w:rPr>
          <w:rFonts w:ascii="Times New Roman" w:hAnsi="Times New Roman" w:eastAsia="仿宋_GB2312" w:cs="Times New Roman"/>
          <w:sz w:val="32"/>
          <w:szCs w:val="32"/>
          <w:shd w:val="clear" w:color="auto" w:fill="FFFFFF"/>
        </w:rPr>
        <w:t>下</w:t>
      </w:r>
      <w:r>
        <w:rPr>
          <w:rFonts w:ascii="Times New Roman" w:hAnsi="Times New Roman" w:eastAsia="宋体" w:cs="Times New Roman"/>
          <w:sz w:val="32"/>
          <w:szCs w:val="32"/>
          <w:shd w:val="clear" w:color="auto" w:fill="FFFFFF"/>
        </w:rPr>
        <w:t>“</w:t>
      </w:r>
      <w:r>
        <w:rPr>
          <w:rFonts w:ascii="Times New Roman" w:hAnsi="Times New Roman" w:eastAsia="仿宋_GB2312" w:cs="Times New Roman"/>
          <w:sz w:val="32"/>
          <w:szCs w:val="32"/>
          <w:shd w:val="clear" w:color="auto" w:fill="FFFFFF"/>
        </w:rPr>
        <w:t>部门公开信息</w:t>
      </w:r>
      <w:r>
        <w:rPr>
          <w:rFonts w:ascii="Times New Roman" w:hAnsi="Times New Roman" w:eastAsia="宋体" w:cs="Times New Roman"/>
          <w:sz w:val="32"/>
          <w:szCs w:val="32"/>
          <w:shd w:val="clear" w:color="auto" w:fill="FFFFFF"/>
        </w:rPr>
        <w:t>《</w:t>
      </w:r>
      <w:r>
        <w:rPr>
          <w:rFonts w:ascii="Times New Roman" w:hAnsi="Times New Roman" w:eastAsia="仿宋_GB2312" w:cs="Times New Roman"/>
          <w:sz w:val="32"/>
          <w:szCs w:val="32"/>
          <w:shd w:val="clear" w:color="auto" w:fill="FFFFFF"/>
        </w:rPr>
        <w:t>市人力资源和社会保障局</w:t>
      </w:r>
      <w:r>
        <w:rPr>
          <w:rFonts w:ascii="Times New Roman" w:hAnsi="Times New Roman" w:eastAsia="宋体" w:cs="Times New Roman"/>
          <w:sz w:val="32"/>
          <w:szCs w:val="32"/>
          <w:shd w:val="clear" w:color="auto" w:fill="FFFFFF"/>
        </w:rPr>
        <w:t>》</w:t>
      </w:r>
      <w:r>
        <w:rPr>
          <w:rFonts w:ascii="Times New Roman" w:hAnsi="Times New Roman" w:eastAsia="仿宋_GB2312" w:cs="Times New Roman"/>
          <w:sz w:val="32"/>
          <w:szCs w:val="32"/>
          <w:shd w:val="clear" w:color="auto" w:fill="FFFFFF"/>
        </w:rPr>
        <w:t>部门年度报告</w:t>
      </w:r>
      <w:r>
        <w:rPr>
          <w:rFonts w:ascii="Times New Roman" w:hAnsi="Times New Roman" w:eastAsia="宋体" w:cs="Times New Roman"/>
          <w:sz w:val="32"/>
          <w:szCs w:val="32"/>
          <w:shd w:val="clear" w:color="auto" w:fill="FFFFFF"/>
        </w:rPr>
        <w:t>”</w:t>
      </w:r>
      <w:r>
        <w:rPr>
          <w:rFonts w:ascii="Times New Roman" w:hAnsi="Times New Roman" w:eastAsia="仿宋_GB2312" w:cs="Times New Roman"/>
          <w:sz w:val="32"/>
          <w:szCs w:val="32"/>
          <w:shd w:val="clear" w:color="auto" w:fill="FFFFFF"/>
        </w:rPr>
        <w:t>栏目公布。如对本报告有任何疑问，请与赣州市人力资源和社会保障局办公室联系</w:t>
      </w:r>
      <w:r>
        <w:rPr>
          <w:rStyle w:val="8"/>
          <w:rFonts w:ascii="Times New Roman" w:hAnsi="Times New Roman" w:eastAsia="仿宋_GB2312" w:cs="Times New Roman"/>
          <w:color w:val="auto"/>
          <w:sz w:val="32"/>
          <w:szCs w:val="32"/>
          <w:u w:val="none"/>
          <w:shd w:val="clear" w:color="auto" w:fill="FFFFFF"/>
        </w:rPr>
        <w:t>。</w:t>
      </w:r>
      <w:r>
        <w:rPr>
          <w:rFonts w:ascii="Times New Roman" w:hAnsi="Times New Roman" w:eastAsia="仿宋_GB2312" w:cs="Times New Roman"/>
          <w:sz w:val="32"/>
          <w:szCs w:val="32"/>
          <w:shd w:val="clear" w:color="auto" w:fill="FFFFFF"/>
        </w:rPr>
        <w:t>（电话：</w:t>
      </w:r>
      <w:r>
        <w:rPr>
          <w:rFonts w:ascii="Times New Roman" w:hAnsi="Times New Roman" w:eastAsia="宋体" w:cs="Times New Roman"/>
          <w:sz w:val="32"/>
          <w:szCs w:val="32"/>
          <w:shd w:val="clear" w:color="auto" w:fill="FFFFFF"/>
        </w:rPr>
        <w:t>8991881</w:t>
      </w:r>
      <w:r>
        <w:rPr>
          <w:rFonts w:ascii="Times New Roman" w:hAnsi="Times New Roman" w:eastAsia="仿宋_GB2312" w:cs="Times New Roman"/>
          <w:sz w:val="32"/>
          <w:szCs w:val="32"/>
          <w:shd w:val="clear" w:color="auto" w:fill="FFFFFF"/>
        </w:rPr>
        <w:t>，邮箱：</w:t>
      </w:r>
      <w:r>
        <w:fldChar w:fldCharType="begin"/>
      </w:r>
      <w:r>
        <w:instrText xml:space="preserve"> HYPERLINK "mailto:gzsrsjbgs@126.com）。" </w:instrText>
      </w:r>
      <w:r>
        <w:fldChar w:fldCharType="separate"/>
      </w:r>
      <w:r>
        <w:rPr>
          <w:rStyle w:val="8"/>
          <w:rFonts w:ascii="Times New Roman" w:hAnsi="Times New Roman" w:eastAsia="宋体" w:cs="Times New Roman"/>
          <w:color w:val="auto"/>
          <w:sz w:val="32"/>
          <w:szCs w:val="32"/>
          <w:u w:val="none"/>
          <w:shd w:val="clear" w:color="auto" w:fill="FFFFFF"/>
        </w:rPr>
        <w:t>gzsrsjbgs@126.com</w:t>
      </w:r>
      <w:r>
        <w:rPr>
          <w:rStyle w:val="8"/>
          <w:rFonts w:ascii="Times New Roman" w:hAnsi="Times New Roman" w:eastAsia="仿宋_GB2312" w:cs="Times New Roman"/>
          <w:color w:val="auto"/>
          <w:sz w:val="32"/>
          <w:szCs w:val="32"/>
          <w:u w:val="none"/>
          <w:shd w:val="clear" w:color="auto" w:fill="FFFFFF"/>
        </w:rPr>
        <w:t>）</w:t>
      </w:r>
      <w:r>
        <w:rPr>
          <w:rStyle w:val="8"/>
          <w:rFonts w:ascii="Times New Roman" w:hAnsi="Times New Roman" w:eastAsia="仿宋_GB2312" w:cs="Times New Roman"/>
          <w:color w:val="auto"/>
          <w:sz w:val="32"/>
          <w:szCs w:val="32"/>
          <w:u w:val="none"/>
          <w:shd w:val="clear" w:color="auto" w:fill="FFFFFF"/>
        </w:rPr>
        <w:fldChar w:fldCharType="end"/>
      </w:r>
    </w:p>
    <w:p>
      <w:pPr>
        <w:autoSpaceDE w:val="0"/>
        <w:autoSpaceDN w:val="0"/>
        <w:spacing w:line="620" w:lineRule="exact"/>
        <w:ind w:firstLine="640" w:firstLineChars="200"/>
        <w:rPr>
          <w:rStyle w:val="8"/>
          <w:rFonts w:ascii="Times New Roman" w:hAnsi="Times New Roman" w:eastAsia="黑体" w:cs="Times New Roman"/>
          <w:color w:val="auto"/>
          <w:sz w:val="32"/>
          <w:szCs w:val="32"/>
          <w:u w:val="none"/>
          <w:shd w:val="clear" w:color="auto" w:fill="FFFFFF"/>
        </w:rPr>
      </w:pPr>
      <w:r>
        <w:rPr>
          <w:rStyle w:val="8"/>
          <w:rFonts w:ascii="Times New Roman" w:hAnsi="Times New Roman" w:eastAsia="黑体" w:cs="Times New Roman"/>
          <w:color w:val="auto"/>
          <w:sz w:val="32"/>
          <w:szCs w:val="32"/>
          <w:u w:val="none"/>
          <w:shd w:val="clear" w:color="auto" w:fill="FFFFFF"/>
        </w:rPr>
        <w:t>一、总体情况</w:t>
      </w:r>
    </w:p>
    <w:p>
      <w:pPr>
        <w:pStyle w:val="5"/>
        <w:shd w:val="clear" w:color="auto" w:fill="FFFFFF"/>
        <w:autoSpaceDE w:val="0"/>
        <w:autoSpaceDN w:val="0"/>
        <w:spacing w:beforeAutospacing="0" w:afterAutospacing="0" w:line="620" w:lineRule="exact"/>
        <w:ind w:firstLine="640" w:firstLineChars="200"/>
        <w:jc w:val="both"/>
        <w:textAlignment w:val="top"/>
        <w:rPr>
          <w:rFonts w:ascii="Times New Roman" w:hAnsi="Times New Roman" w:eastAsia="仿宋_GB2312"/>
          <w:sz w:val="32"/>
          <w:szCs w:val="32"/>
          <w:shd w:val="clear" w:color="auto" w:fill="FFFFFF"/>
        </w:rPr>
      </w:pPr>
      <w:r>
        <w:rPr>
          <w:rFonts w:ascii="Times New Roman" w:hAnsi="Times New Roman" w:eastAsia="仿宋_GB2312"/>
          <w:kern w:val="2"/>
          <w:sz w:val="32"/>
          <w:szCs w:val="32"/>
          <w:shd w:val="clear" w:color="auto" w:fill="FFFFFF"/>
        </w:rPr>
        <w:t>2020年，我局认真贯彻《中华人民共和国政府信息公开条例》，全面落实省、市政府信息公开工作要求，稳妥有序开展政府信息公开各项工作，加大主动公开、政策解读、回应关切力度，全市人社领域信息公开实效进一步增强</w:t>
      </w:r>
      <w:r>
        <w:rPr>
          <w:rFonts w:ascii="Times New Roman" w:hAnsi="Times New Roman" w:eastAsia="仿宋_GB2312"/>
          <w:sz w:val="32"/>
          <w:szCs w:val="32"/>
          <w:shd w:val="clear" w:color="auto" w:fill="FFFFFF"/>
        </w:rPr>
        <w:t>。</w:t>
      </w:r>
    </w:p>
    <w:p>
      <w:pPr>
        <w:autoSpaceDE w:val="0"/>
        <w:autoSpaceDN w:val="0"/>
        <w:spacing w:line="62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shd w:val="clear" w:color="auto" w:fill="FFFFFF"/>
        </w:rPr>
        <w:t>（一）主动公开情况。</w:t>
      </w:r>
      <w:r>
        <w:rPr>
          <w:rFonts w:ascii="Times New Roman" w:hAnsi="Times New Roman" w:eastAsia="仿宋_GB2312" w:cs="Times New Roman"/>
          <w:sz w:val="32"/>
          <w:szCs w:val="32"/>
          <w:shd w:val="clear" w:color="auto" w:fill="FFFFFF"/>
        </w:rPr>
        <w:t>围绕群众关切的就业创业、人事人才、劳动关系、社会保障等领域，加大主动公开力度，2020年</w:t>
      </w:r>
      <w:r>
        <w:rPr>
          <w:rFonts w:ascii="Times New Roman" w:hAnsi="Times New Roman" w:eastAsia="仿宋_GB2312" w:cs="Times New Roman"/>
          <w:sz w:val="32"/>
          <w:szCs w:val="32"/>
        </w:rPr>
        <w:t>我局主动公开政府信息</w:t>
      </w:r>
      <w:r>
        <w:rPr>
          <w:rFonts w:hint="eastAsia" w:ascii="Times New Roman" w:hAnsi="Times New Roman" w:eastAsia="仿宋_GB2312" w:cs="Times New Roman"/>
          <w:sz w:val="32"/>
          <w:szCs w:val="32"/>
          <w:lang w:val="en-US" w:eastAsia="zh-CN"/>
        </w:rPr>
        <w:t>4077</w:t>
      </w:r>
      <w:r>
        <w:rPr>
          <w:rFonts w:ascii="Times New Roman" w:hAnsi="Times New Roman" w:eastAsia="仿宋_GB2312" w:cs="Times New Roman"/>
          <w:sz w:val="32"/>
          <w:szCs w:val="32"/>
        </w:rPr>
        <w:t>条，其中政府网站公开信息3523条，政务微博公开信息250条，政务微信公开信息304条。紧扣“六稳、六保”决策部署，强化重点领域信息公开，及时发布了《关于进一步做好当前稳就业保用工工作的通知》《关于疫情期间进一步强化帮扶措施促进贫困劳动力就业工作的通知》等一系列稳就业、保居民</w:t>
      </w:r>
      <w:r>
        <w:rPr>
          <w:rFonts w:ascii="Times New Roman" w:hAnsi="Times New Roman" w:eastAsia="仿宋_GB2312" w:cs="Times New Roman"/>
          <w:b w:val="0"/>
          <w:bCs w:val="0"/>
          <w:sz w:val="32"/>
          <w:szCs w:val="32"/>
        </w:rPr>
        <w:t>就业政策措施，通过新闻发布会、宣传册、图文等形式开展政</w:t>
      </w:r>
      <w:r>
        <w:rPr>
          <w:rFonts w:ascii="Times New Roman" w:hAnsi="Times New Roman" w:eastAsia="仿宋_GB2312" w:cs="Times New Roman"/>
          <w:sz w:val="32"/>
          <w:szCs w:val="32"/>
        </w:rPr>
        <w:t>策解读，进一步提升了政策知晓率。</w:t>
      </w:r>
    </w:p>
    <w:p>
      <w:pPr>
        <w:pStyle w:val="5"/>
        <w:shd w:val="clear" w:color="auto" w:fill="FFFFFF"/>
        <w:autoSpaceDE w:val="0"/>
        <w:autoSpaceDN w:val="0"/>
        <w:spacing w:beforeAutospacing="0" w:afterAutospacing="0" w:line="620" w:lineRule="exact"/>
        <w:ind w:firstLine="640" w:firstLineChars="200"/>
        <w:jc w:val="both"/>
        <w:textAlignment w:val="top"/>
        <w:rPr>
          <w:rFonts w:ascii="Times New Roman" w:hAnsi="Times New Roman" w:eastAsia="仿宋_GB2312"/>
          <w:kern w:val="2"/>
          <w:sz w:val="32"/>
          <w:szCs w:val="32"/>
          <w:shd w:val="clear" w:color="auto" w:fill="FFFFFF"/>
        </w:rPr>
      </w:pPr>
      <w:r>
        <w:rPr>
          <w:rFonts w:ascii="Times New Roman" w:hAnsi="Times New Roman" w:eastAsia="楷体_GB2312"/>
          <w:kern w:val="2"/>
          <w:sz w:val="32"/>
          <w:szCs w:val="32"/>
          <w:shd w:val="clear" w:color="auto" w:fill="FFFFFF"/>
        </w:rPr>
        <w:t>（二）依申请公开情况。</w:t>
      </w:r>
      <w:r>
        <w:rPr>
          <w:rFonts w:ascii="Times New Roman" w:hAnsi="Times New Roman" w:eastAsia="仿宋_GB2312"/>
          <w:kern w:val="2"/>
          <w:sz w:val="32"/>
          <w:szCs w:val="32"/>
          <w:shd w:val="clear" w:color="auto" w:fill="FFFFFF"/>
        </w:rPr>
        <w:t>严格按照依申请公开办理要求，规范办理流程和答复文书，不断提高依申请公开办理质量，切实保障公众知情权。本年度受理依申请公开11件，</w:t>
      </w:r>
      <w:r>
        <w:rPr>
          <w:rFonts w:ascii="Times New Roman" w:hAnsi="Times New Roman" w:eastAsia="仿宋_GB2312"/>
          <w:sz w:val="32"/>
          <w:szCs w:val="32"/>
        </w:rPr>
        <w:t>均按规定时限办结，</w:t>
      </w:r>
      <w:r>
        <w:rPr>
          <w:rFonts w:ascii="Times New Roman" w:hAnsi="Times New Roman" w:eastAsia="仿宋_GB2312"/>
          <w:kern w:val="2"/>
          <w:sz w:val="32"/>
          <w:szCs w:val="32"/>
          <w:shd w:val="clear" w:color="auto" w:fill="FFFFFF"/>
        </w:rPr>
        <w:t>无行政复议和行政诉讼。</w:t>
      </w:r>
    </w:p>
    <w:p>
      <w:pPr>
        <w:pStyle w:val="5"/>
        <w:shd w:val="clear" w:color="auto" w:fill="FFFFFF"/>
        <w:autoSpaceDE w:val="0"/>
        <w:autoSpaceDN w:val="0"/>
        <w:spacing w:beforeAutospacing="0" w:afterAutospacing="0" w:line="620" w:lineRule="exact"/>
        <w:ind w:firstLine="640" w:firstLineChars="200"/>
        <w:jc w:val="both"/>
        <w:textAlignment w:val="top"/>
        <w:rPr>
          <w:rFonts w:ascii="Times New Roman" w:hAnsi="Times New Roman" w:eastAsia="仿宋_GB2312"/>
          <w:kern w:val="2"/>
          <w:sz w:val="32"/>
          <w:szCs w:val="32"/>
          <w:shd w:val="clear" w:color="auto" w:fill="FFFFFF"/>
        </w:rPr>
      </w:pPr>
      <w:r>
        <w:rPr>
          <w:rFonts w:ascii="Times New Roman" w:hAnsi="Times New Roman" w:eastAsia="楷体_GB2312"/>
          <w:kern w:val="2"/>
          <w:sz w:val="32"/>
          <w:szCs w:val="32"/>
          <w:shd w:val="clear" w:color="auto" w:fill="FFFFFF"/>
        </w:rPr>
        <w:t>（三）政府信息管理情况。</w:t>
      </w:r>
      <w:r>
        <w:rPr>
          <w:rFonts w:ascii="Times New Roman" w:hAnsi="Times New Roman" w:eastAsia="仿宋_GB2312"/>
          <w:kern w:val="2"/>
          <w:sz w:val="32"/>
          <w:szCs w:val="32"/>
          <w:shd w:val="clear" w:color="auto" w:fill="FFFFFF"/>
        </w:rPr>
        <w:t>全面梳理了局门户网站政务公开目录，收集、整理各类政务公开信息，严格按照《</w:t>
      </w:r>
      <w:r>
        <w:rPr>
          <w:rFonts w:ascii="Times New Roman" w:hAnsi="Times New Roman" w:eastAsia="仿宋_GB2312"/>
          <w:sz w:val="32"/>
          <w:szCs w:val="32"/>
        </w:rPr>
        <w:t>赣州市人力资源和社会保障局信息公开指南》《赣州市人力资源和社会保障局信息公开目录》发布信息</w:t>
      </w:r>
      <w:r>
        <w:rPr>
          <w:rFonts w:ascii="Times New Roman" w:hAnsi="Times New Roman" w:eastAsia="仿宋_GB2312"/>
          <w:kern w:val="2"/>
          <w:sz w:val="32"/>
          <w:szCs w:val="32"/>
          <w:shd w:val="clear" w:color="auto" w:fill="FFFFFF"/>
        </w:rPr>
        <w:t>。健全完善信息公开保密审查制度，遵循“谁公开、谁审查、谁负责”原则，确保了信息公开的安全性、准确性。</w:t>
      </w:r>
    </w:p>
    <w:p>
      <w:pPr>
        <w:pStyle w:val="5"/>
        <w:shd w:val="clear" w:color="auto" w:fill="FFFFFF"/>
        <w:autoSpaceDE w:val="0"/>
        <w:autoSpaceDN w:val="0"/>
        <w:spacing w:beforeAutospacing="0" w:afterAutospacing="0" w:line="620" w:lineRule="exact"/>
        <w:ind w:firstLine="640" w:firstLineChars="200"/>
        <w:jc w:val="both"/>
        <w:textAlignment w:val="top"/>
        <w:rPr>
          <w:rFonts w:ascii="Times New Roman" w:hAnsi="Times New Roman" w:eastAsia="仿宋_GB2312"/>
          <w:sz w:val="32"/>
          <w:szCs w:val="32"/>
          <w:shd w:val="clear" w:color="auto" w:fill="FFFFFF"/>
        </w:rPr>
      </w:pPr>
      <w:r>
        <w:rPr>
          <w:rFonts w:ascii="Times New Roman" w:hAnsi="Times New Roman" w:eastAsia="楷体_GB2312"/>
          <w:kern w:val="2"/>
          <w:sz w:val="32"/>
          <w:szCs w:val="32"/>
          <w:shd w:val="clear" w:color="auto" w:fill="FFFFFF"/>
        </w:rPr>
        <w:t>（四）平台建设情况。</w:t>
      </w:r>
      <w:r>
        <w:rPr>
          <w:rFonts w:ascii="Times New Roman" w:hAnsi="Times New Roman" w:eastAsia="仿宋_GB2312"/>
          <w:kern w:val="2"/>
          <w:sz w:val="32"/>
          <w:szCs w:val="32"/>
          <w:shd w:val="clear" w:color="auto" w:fill="FFFFFF"/>
        </w:rPr>
        <w:t>印发《赣州市人力资源和社会保障局政务新媒体管理办法》，进一步规范政务新媒体管理运营，安排专人负责政务新媒体运营维护、信息发布。</w:t>
      </w:r>
      <w:r>
        <w:rPr>
          <w:rFonts w:ascii="Times New Roman" w:hAnsi="Times New Roman" w:eastAsia="仿宋_GB2312"/>
          <w:sz w:val="32"/>
          <w:szCs w:val="32"/>
          <w:shd w:val="clear" w:color="auto" w:fill="FFFFFF"/>
        </w:rPr>
        <w:t>积极优化完善政府信息公开平台，认真做好市政府门户网站相关板块的信息发布维护。强化本单位门户网站建设，调整优化相关栏目，强化信息搜索、办事服务等功能，提高网站服务水平。加强“赣州人社”微信公众号等载体建设，做好了权威信息发布、政策解读和办事服务工作。</w:t>
      </w:r>
    </w:p>
    <w:p>
      <w:pPr>
        <w:autoSpaceDE w:val="0"/>
        <w:autoSpaceDN w:val="0"/>
        <w:spacing w:line="62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shd w:val="clear" w:color="auto" w:fill="FFFFFF"/>
        </w:rPr>
        <w:t>（五）监督保障工作情况。</w:t>
      </w:r>
      <w:r>
        <w:rPr>
          <w:rFonts w:ascii="Times New Roman" w:hAnsi="Times New Roman" w:eastAsia="仿宋_GB2312" w:cs="Times New Roman"/>
          <w:sz w:val="32"/>
          <w:szCs w:val="32"/>
          <w:shd w:val="clear" w:color="auto" w:fill="FFFFFF"/>
        </w:rPr>
        <w:t>进一步强化信息公开工作的组织领导，</w:t>
      </w:r>
      <w:r>
        <w:rPr>
          <w:rFonts w:ascii="Times New Roman" w:hAnsi="Times New Roman" w:eastAsia="仿宋_GB2312" w:cs="Times New Roman"/>
          <w:sz w:val="32"/>
          <w:szCs w:val="32"/>
        </w:rPr>
        <w:t>把信息公开工作列入重要议事日程，局主要领导和分管领导多次听取工作汇报，定期研究协调相关事项。积极参加业务知识培训，印发《2020年政务公开重点工作责任分工》，层层压实工作责任，确保重点工作落到实处。</w:t>
      </w:r>
    </w:p>
    <w:p>
      <w:pPr>
        <w:autoSpaceDE w:val="0"/>
        <w:autoSpaceDN w:val="0"/>
        <w:spacing w:line="62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shd w:val="clear" w:color="auto" w:fill="FFFFFF"/>
        </w:rPr>
        <w:t>（六）推进基层政务公开标准化规范化情况。</w:t>
      </w:r>
      <w:r>
        <w:rPr>
          <w:rFonts w:ascii="Times New Roman" w:hAnsi="Times New Roman" w:eastAsia="仿宋_GB2312" w:cs="Times New Roman"/>
          <w:sz w:val="32"/>
          <w:szCs w:val="32"/>
        </w:rPr>
        <w:t>印发了《赣州市人力资源和社会保障局关于印发就业和社会保险领域基层政务公开标准指引的通知》（赣市人社字〔2020〕154号），编制梳理了就业领域基层政务公开一级事项9项、二级事项31项；社会保险领域一级事项10项、二级事项66项，三级事项64项，进一步提升了基层政务公开制度化、规范化、标准化水平。</w:t>
      </w:r>
    </w:p>
    <w:p>
      <w:pPr>
        <w:pStyle w:val="5"/>
        <w:shd w:val="clear" w:color="auto" w:fill="FFFFFF"/>
        <w:autoSpaceDE w:val="0"/>
        <w:autoSpaceDN w:val="0"/>
        <w:spacing w:beforeAutospacing="0" w:afterAutospacing="0" w:line="600" w:lineRule="exact"/>
        <w:jc w:val="both"/>
        <w:textAlignment w:val="top"/>
        <w:rPr>
          <w:rFonts w:ascii="Times New Roman" w:hAnsi="Times New Roman" w:eastAsia="黑体"/>
          <w:kern w:val="2"/>
          <w:sz w:val="32"/>
          <w:szCs w:val="32"/>
          <w:shd w:val="clear" w:color="auto" w:fill="FFFFFF"/>
        </w:rPr>
      </w:pPr>
      <w:r>
        <w:rPr>
          <w:rFonts w:ascii="Times New Roman" w:hAnsi="Times New Roman" w:eastAsia="黑体"/>
          <w:kern w:val="2"/>
          <w:sz w:val="32"/>
          <w:szCs w:val="32"/>
          <w:shd w:val="clear" w:color="auto" w:fill="FFFFFF"/>
        </w:rPr>
        <w:t>二、主动公开政府信息情况</w:t>
      </w:r>
    </w:p>
    <w:tbl>
      <w:tblPr>
        <w:tblStyle w:val="6"/>
        <w:tblW w:w="9071" w:type="dxa"/>
        <w:jc w:val="center"/>
        <w:shd w:val="clear" w:color="auto" w:fill="FFFFFF" w:themeFill="background1"/>
        <w:tblLayout w:type="fixed"/>
        <w:tblCellMar>
          <w:top w:w="0" w:type="dxa"/>
          <w:left w:w="0" w:type="dxa"/>
          <w:bottom w:w="0" w:type="dxa"/>
          <w:right w:w="0" w:type="dxa"/>
        </w:tblCellMar>
      </w:tblPr>
      <w:tblGrid>
        <w:gridCol w:w="3468"/>
        <w:gridCol w:w="1746"/>
        <w:gridCol w:w="1761"/>
        <w:gridCol w:w="2096"/>
      </w:tblGrid>
      <w:tr>
        <w:tblPrEx>
          <w:shd w:val="clear" w:color="auto" w:fill="FFFFFF" w:themeFill="background1"/>
          <w:tblCellMar>
            <w:top w:w="0" w:type="dxa"/>
            <w:left w:w="0" w:type="dxa"/>
            <w:bottom w:w="0" w:type="dxa"/>
            <w:right w:w="0" w:type="dxa"/>
          </w:tblCellMar>
        </w:tblPrEx>
        <w:trPr>
          <w:trHeight w:val="567" w:hRule="exact"/>
          <w:jc w:val="center"/>
        </w:trPr>
        <w:tc>
          <w:tcPr>
            <w:tcW w:w="9071"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第二十条第（一）项</w:t>
            </w:r>
          </w:p>
        </w:tc>
      </w:tr>
      <w:tr>
        <w:tblPrEx>
          <w:tblCellMar>
            <w:top w:w="0" w:type="dxa"/>
            <w:left w:w="0" w:type="dxa"/>
            <w:bottom w:w="0" w:type="dxa"/>
            <w:right w:w="0" w:type="dxa"/>
          </w:tblCellMar>
        </w:tblPrEx>
        <w:trPr>
          <w:trHeight w:val="655" w:hRule="exact"/>
          <w:jc w:val="center"/>
        </w:trPr>
        <w:tc>
          <w:tcPr>
            <w:tcW w:w="3468"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信息内容</w:t>
            </w:r>
          </w:p>
        </w:tc>
        <w:tc>
          <w:tcPr>
            <w:tcW w:w="1746"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本年新制作数量</w:t>
            </w:r>
          </w:p>
        </w:tc>
        <w:tc>
          <w:tcPr>
            <w:tcW w:w="1761"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本年新公开数量</w:t>
            </w:r>
          </w:p>
        </w:tc>
        <w:tc>
          <w:tcPr>
            <w:tcW w:w="2096"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对外公开总数量</w:t>
            </w:r>
          </w:p>
        </w:tc>
      </w:tr>
      <w:tr>
        <w:tblPrEx>
          <w:tblCellMar>
            <w:top w:w="0" w:type="dxa"/>
            <w:left w:w="0" w:type="dxa"/>
            <w:bottom w:w="0" w:type="dxa"/>
            <w:right w:w="0" w:type="dxa"/>
          </w:tblCellMar>
        </w:tblPrEx>
        <w:trPr>
          <w:trHeight w:val="567" w:hRule="exact"/>
          <w:jc w:val="center"/>
        </w:trPr>
        <w:tc>
          <w:tcPr>
            <w:tcW w:w="3468"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规章</w:t>
            </w:r>
          </w:p>
        </w:tc>
        <w:tc>
          <w:tcPr>
            <w:tcW w:w="1746"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cs="Times New Roman"/>
                <w:sz w:val="20"/>
                <w:szCs w:val="21"/>
              </w:rPr>
              <w:t>0</w:t>
            </w:r>
          </w:p>
        </w:tc>
        <w:tc>
          <w:tcPr>
            <w:tcW w:w="1761"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cs="Times New Roman"/>
                <w:sz w:val="20"/>
                <w:szCs w:val="21"/>
              </w:rPr>
              <w:t>0</w:t>
            </w:r>
          </w:p>
        </w:tc>
        <w:tc>
          <w:tcPr>
            <w:tcW w:w="2096"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cs="Times New Roman"/>
                <w:sz w:val="20"/>
                <w:szCs w:val="21"/>
              </w:rPr>
              <w:t>0</w:t>
            </w:r>
          </w:p>
        </w:tc>
      </w:tr>
      <w:tr>
        <w:tblPrEx>
          <w:tblCellMar>
            <w:top w:w="0" w:type="dxa"/>
            <w:left w:w="0" w:type="dxa"/>
            <w:bottom w:w="0" w:type="dxa"/>
            <w:right w:w="0" w:type="dxa"/>
          </w:tblCellMar>
        </w:tblPrEx>
        <w:trPr>
          <w:trHeight w:val="567" w:hRule="exact"/>
          <w:jc w:val="center"/>
        </w:trPr>
        <w:tc>
          <w:tcPr>
            <w:tcW w:w="3468"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规范性文件</w:t>
            </w:r>
          </w:p>
        </w:tc>
        <w:tc>
          <w:tcPr>
            <w:tcW w:w="1746"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eastAsia="宋体" w:cs="Times New Roman"/>
                <w:sz w:val="20"/>
                <w:szCs w:val="21"/>
              </w:rPr>
            </w:pPr>
            <w:r>
              <w:rPr>
                <w:rFonts w:ascii="Times New Roman" w:hAnsi="Times New Roman" w:eastAsia="宋体" w:cs="Times New Roman"/>
                <w:color w:val="000000"/>
                <w:kern w:val="0"/>
                <w:sz w:val="18"/>
                <w:szCs w:val="18"/>
              </w:rPr>
              <w:t>4</w:t>
            </w:r>
          </w:p>
        </w:tc>
        <w:tc>
          <w:tcPr>
            <w:tcW w:w="1761"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eastAsia="宋体" w:cs="Times New Roman"/>
                <w:sz w:val="20"/>
                <w:szCs w:val="21"/>
              </w:rPr>
            </w:pPr>
            <w:r>
              <w:rPr>
                <w:rFonts w:ascii="Times New Roman" w:hAnsi="Times New Roman" w:eastAsia="宋体" w:cs="Times New Roman"/>
                <w:color w:val="000000"/>
                <w:kern w:val="0"/>
                <w:sz w:val="18"/>
                <w:szCs w:val="18"/>
              </w:rPr>
              <w:t>4</w:t>
            </w:r>
          </w:p>
        </w:tc>
        <w:tc>
          <w:tcPr>
            <w:tcW w:w="2096"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eastAsia="宋体" w:cs="Times New Roman"/>
                <w:sz w:val="20"/>
                <w:szCs w:val="21"/>
              </w:rPr>
            </w:pPr>
            <w:r>
              <w:rPr>
                <w:rFonts w:ascii="Times New Roman" w:hAnsi="Times New Roman" w:eastAsia="宋体" w:cs="Times New Roman"/>
                <w:color w:val="000000"/>
                <w:kern w:val="0"/>
                <w:sz w:val="18"/>
                <w:szCs w:val="18"/>
              </w:rPr>
              <w:t>277</w:t>
            </w:r>
          </w:p>
        </w:tc>
      </w:tr>
      <w:tr>
        <w:tblPrEx>
          <w:tblCellMar>
            <w:top w:w="0" w:type="dxa"/>
            <w:left w:w="0" w:type="dxa"/>
            <w:bottom w:w="0" w:type="dxa"/>
            <w:right w:w="0" w:type="dxa"/>
          </w:tblCellMar>
        </w:tblPrEx>
        <w:trPr>
          <w:trHeight w:val="567" w:hRule="exact"/>
          <w:jc w:val="center"/>
        </w:trPr>
        <w:tc>
          <w:tcPr>
            <w:tcW w:w="9071" w:type="dxa"/>
            <w:gridSpan w:val="4"/>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第二十条第（五）项</w:t>
            </w:r>
          </w:p>
        </w:tc>
      </w:tr>
      <w:tr>
        <w:tblPrEx>
          <w:tblCellMar>
            <w:top w:w="0" w:type="dxa"/>
            <w:left w:w="0" w:type="dxa"/>
            <w:bottom w:w="0" w:type="dxa"/>
            <w:right w:w="0" w:type="dxa"/>
          </w:tblCellMar>
        </w:tblPrEx>
        <w:trPr>
          <w:trHeight w:val="567" w:hRule="exact"/>
          <w:jc w:val="center"/>
        </w:trPr>
        <w:tc>
          <w:tcPr>
            <w:tcW w:w="3468"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信息内容</w:t>
            </w:r>
          </w:p>
        </w:tc>
        <w:tc>
          <w:tcPr>
            <w:tcW w:w="1746"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上一年项目数量</w:t>
            </w:r>
          </w:p>
        </w:tc>
        <w:tc>
          <w:tcPr>
            <w:tcW w:w="1761"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本年增/减</w:t>
            </w:r>
          </w:p>
        </w:tc>
        <w:tc>
          <w:tcPr>
            <w:tcW w:w="2096"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处理决定数量</w:t>
            </w:r>
          </w:p>
        </w:tc>
      </w:tr>
      <w:tr>
        <w:tblPrEx>
          <w:tblCellMar>
            <w:top w:w="0" w:type="dxa"/>
            <w:left w:w="0" w:type="dxa"/>
            <w:bottom w:w="0" w:type="dxa"/>
            <w:right w:w="0" w:type="dxa"/>
          </w:tblCellMar>
        </w:tblPrEx>
        <w:trPr>
          <w:trHeight w:val="567" w:hRule="exact"/>
          <w:jc w:val="center"/>
        </w:trPr>
        <w:tc>
          <w:tcPr>
            <w:tcW w:w="3468"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行政许可</w:t>
            </w:r>
          </w:p>
        </w:tc>
        <w:tc>
          <w:tcPr>
            <w:tcW w:w="1746"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cs="Times New Roman"/>
                <w:sz w:val="20"/>
                <w:szCs w:val="21"/>
              </w:rPr>
              <w:t>0</w:t>
            </w:r>
          </w:p>
        </w:tc>
        <w:tc>
          <w:tcPr>
            <w:tcW w:w="1761"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cs="Times New Roman"/>
                <w:sz w:val="20"/>
                <w:szCs w:val="21"/>
              </w:rPr>
              <w:t>0</w:t>
            </w:r>
          </w:p>
        </w:tc>
        <w:tc>
          <w:tcPr>
            <w:tcW w:w="2096"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eastAsia="宋体" w:cs="Times New Roman"/>
                <w:sz w:val="20"/>
                <w:szCs w:val="21"/>
              </w:rPr>
            </w:pPr>
            <w:r>
              <w:rPr>
                <w:rFonts w:ascii="Times New Roman" w:hAnsi="Times New Roman" w:eastAsia="宋体" w:cs="Times New Roman"/>
                <w:color w:val="000000"/>
                <w:kern w:val="0"/>
                <w:sz w:val="18"/>
                <w:szCs w:val="18"/>
              </w:rPr>
              <w:t>0</w:t>
            </w:r>
          </w:p>
        </w:tc>
      </w:tr>
      <w:tr>
        <w:tblPrEx>
          <w:tblCellMar>
            <w:top w:w="0" w:type="dxa"/>
            <w:left w:w="0" w:type="dxa"/>
            <w:bottom w:w="0" w:type="dxa"/>
            <w:right w:w="0" w:type="dxa"/>
          </w:tblCellMar>
        </w:tblPrEx>
        <w:trPr>
          <w:trHeight w:val="567" w:hRule="exact"/>
          <w:jc w:val="center"/>
        </w:trPr>
        <w:tc>
          <w:tcPr>
            <w:tcW w:w="3468"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其他对外管理服务事项</w:t>
            </w:r>
          </w:p>
        </w:tc>
        <w:tc>
          <w:tcPr>
            <w:tcW w:w="1746"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cs="Times New Roman"/>
                <w:sz w:val="20"/>
                <w:szCs w:val="21"/>
              </w:rPr>
              <w:t>0</w:t>
            </w:r>
          </w:p>
        </w:tc>
        <w:tc>
          <w:tcPr>
            <w:tcW w:w="1761"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cs="Times New Roman"/>
                <w:sz w:val="20"/>
                <w:szCs w:val="21"/>
              </w:rPr>
              <w:t>0</w:t>
            </w:r>
          </w:p>
        </w:tc>
        <w:tc>
          <w:tcPr>
            <w:tcW w:w="2096"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eastAsia="宋体" w:cs="Times New Roman"/>
                <w:sz w:val="20"/>
                <w:szCs w:val="21"/>
              </w:rPr>
            </w:pPr>
            <w:r>
              <w:rPr>
                <w:rFonts w:ascii="Times New Roman" w:hAnsi="Times New Roman" w:eastAsia="宋体" w:cs="Times New Roman"/>
                <w:color w:val="000000"/>
                <w:kern w:val="0"/>
                <w:sz w:val="18"/>
                <w:szCs w:val="18"/>
              </w:rPr>
              <w:t>0</w:t>
            </w:r>
          </w:p>
        </w:tc>
      </w:tr>
      <w:tr>
        <w:tblPrEx>
          <w:tblCellMar>
            <w:top w:w="0" w:type="dxa"/>
            <w:left w:w="0" w:type="dxa"/>
            <w:bottom w:w="0" w:type="dxa"/>
            <w:right w:w="0" w:type="dxa"/>
          </w:tblCellMar>
        </w:tblPrEx>
        <w:trPr>
          <w:trHeight w:val="567" w:hRule="exact"/>
          <w:jc w:val="center"/>
        </w:trPr>
        <w:tc>
          <w:tcPr>
            <w:tcW w:w="9071" w:type="dxa"/>
            <w:gridSpan w:val="4"/>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第二十条第（六）项</w:t>
            </w:r>
          </w:p>
        </w:tc>
      </w:tr>
      <w:tr>
        <w:tblPrEx>
          <w:tblCellMar>
            <w:top w:w="0" w:type="dxa"/>
            <w:left w:w="0" w:type="dxa"/>
            <w:bottom w:w="0" w:type="dxa"/>
            <w:right w:w="0" w:type="dxa"/>
          </w:tblCellMar>
        </w:tblPrEx>
        <w:trPr>
          <w:trHeight w:val="567" w:hRule="exact"/>
          <w:jc w:val="center"/>
        </w:trPr>
        <w:tc>
          <w:tcPr>
            <w:tcW w:w="3468"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信息内容</w:t>
            </w:r>
          </w:p>
        </w:tc>
        <w:tc>
          <w:tcPr>
            <w:tcW w:w="1746"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上一年项目数量</w:t>
            </w:r>
          </w:p>
        </w:tc>
        <w:tc>
          <w:tcPr>
            <w:tcW w:w="1761"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本年增/减</w:t>
            </w:r>
          </w:p>
        </w:tc>
        <w:tc>
          <w:tcPr>
            <w:tcW w:w="2096"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处理决定数量</w:t>
            </w:r>
          </w:p>
        </w:tc>
      </w:tr>
      <w:tr>
        <w:tblPrEx>
          <w:tblCellMar>
            <w:top w:w="0" w:type="dxa"/>
            <w:left w:w="0" w:type="dxa"/>
            <w:bottom w:w="0" w:type="dxa"/>
            <w:right w:w="0" w:type="dxa"/>
          </w:tblCellMar>
        </w:tblPrEx>
        <w:trPr>
          <w:trHeight w:val="567" w:hRule="exact"/>
          <w:jc w:val="center"/>
        </w:trPr>
        <w:tc>
          <w:tcPr>
            <w:tcW w:w="3468"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行政处罚</w:t>
            </w:r>
          </w:p>
        </w:tc>
        <w:tc>
          <w:tcPr>
            <w:tcW w:w="1746"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cs="Times New Roman"/>
                <w:sz w:val="20"/>
                <w:szCs w:val="21"/>
              </w:rPr>
              <w:t>0</w:t>
            </w:r>
          </w:p>
        </w:tc>
        <w:tc>
          <w:tcPr>
            <w:tcW w:w="1761"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hint="eastAsia" w:ascii="Times New Roman" w:hAnsi="Times New Roman" w:cs="Times New Roman" w:eastAsiaTheme="minorEastAsia"/>
                <w:sz w:val="20"/>
                <w:szCs w:val="21"/>
                <w:lang w:eastAsia="zh-CN"/>
              </w:rPr>
            </w:pPr>
            <w:r>
              <w:rPr>
                <w:rFonts w:hint="eastAsia" w:ascii="Times New Roman" w:hAnsi="Times New Roman" w:cs="Times New Roman"/>
                <w:sz w:val="20"/>
                <w:szCs w:val="21"/>
                <w:lang w:val="en-US" w:eastAsia="zh-CN"/>
              </w:rPr>
              <w:t>2</w:t>
            </w:r>
          </w:p>
        </w:tc>
        <w:tc>
          <w:tcPr>
            <w:tcW w:w="2096"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hint="eastAsia" w:ascii="Times New Roman" w:hAnsi="Times New Roman" w:eastAsia="宋体" w:cs="Times New Roman"/>
                <w:sz w:val="20"/>
                <w:szCs w:val="21"/>
                <w:lang w:eastAsia="zh-CN"/>
              </w:rPr>
            </w:pPr>
            <w:r>
              <w:rPr>
                <w:rFonts w:hint="eastAsia" w:ascii="Times New Roman" w:hAnsi="Times New Roman" w:eastAsia="宋体" w:cs="Times New Roman"/>
                <w:color w:val="000000"/>
                <w:kern w:val="0"/>
                <w:sz w:val="18"/>
                <w:szCs w:val="18"/>
                <w:lang w:val="en-US" w:eastAsia="zh-CN"/>
              </w:rPr>
              <w:t>2</w:t>
            </w:r>
          </w:p>
        </w:tc>
      </w:tr>
      <w:tr>
        <w:tblPrEx>
          <w:tblCellMar>
            <w:top w:w="0" w:type="dxa"/>
            <w:left w:w="0" w:type="dxa"/>
            <w:bottom w:w="0" w:type="dxa"/>
            <w:right w:w="0" w:type="dxa"/>
          </w:tblCellMar>
        </w:tblPrEx>
        <w:trPr>
          <w:trHeight w:val="567" w:hRule="exact"/>
          <w:jc w:val="center"/>
        </w:trPr>
        <w:tc>
          <w:tcPr>
            <w:tcW w:w="3468"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行政强制</w:t>
            </w:r>
          </w:p>
        </w:tc>
        <w:tc>
          <w:tcPr>
            <w:tcW w:w="1746"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cs="Times New Roman"/>
                <w:sz w:val="20"/>
                <w:szCs w:val="21"/>
              </w:rPr>
              <w:t>0</w:t>
            </w:r>
          </w:p>
        </w:tc>
        <w:tc>
          <w:tcPr>
            <w:tcW w:w="1761"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cs="Times New Roman"/>
                <w:sz w:val="20"/>
                <w:szCs w:val="21"/>
              </w:rPr>
              <w:t>0</w:t>
            </w:r>
          </w:p>
        </w:tc>
        <w:tc>
          <w:tcPr>
            <w:tcW w:w="2096"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eastAsia="宋体" w:cs="Times New Roman"/>
                <w:sz w:val="20"/>
                <w:szCs w:val="21"/>
              </w:rPr>
            </w:pPr>
            <w:r>
              <w:rPr>
                <w:rFonts w:ascii="Times New Roman" w:hAnsi="Times New Roman" w:eastAsia="宋体" w:cs="Times New Roman"/>
                <w:color w:val="000000"/>
                <w:kern w:val="0"/>
                <w:sz w:val="18"/>
                <w:szCs w:val="18"/>
              </w:rPr>
              <w:t>0</w:t>
            </w:r>
          </w:p>
        </w:tc>
      </w:tr>
      <w:tr>
        <w:tblPrEx>
          <w:tblCellMar>
            <w:top w:w="0" w:type="dxa"/>
            <w:left w:w="0" w:type="dxa"/>
            <w:bottom w:w="0" w:type="dxa"/>
            <w:right w:w="0" w:type="dxa"/>
          </w:tblCellMar>
        </w:tblPrEx>
        <w:trPr>
          <w:trHeight w:val="567" w:hRule="exact"/>
          <w:jc w:val="center"/>
        </w:trPr>
        <w:tc>
          <w:tcPr>
            <w:tcW w:w="9071" w:type="dxa"/>
            <w:gridSpan w:val="4"/>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第二十条第（八）项</w:t>
            </w:r>
          </w:p>
        </w:tc>
      </w:tr>
      <w:tr>
        <w:tblPrEx>
          <w:tblCellMar>
            <w:top w:w="0" w:type="dxa"/>
            <w:left w:w="0" w:type="dxa"/>
            <w:bottom w:w="0" w:type="dxa"/>
            <w:right w:w="0" w:type="dxa"/>
          </w:tblCellMar>
        </w:tblPrEx>
        <w:trPr>
          <w:trHeight w:val="567" w:hRule="exact"/>
          <w:jc w:val="center"/>
        </w:trPr>
        <w:tc>
          <w:tcPr>
            <w:tcW w:w="3468"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信息内容</w:t>
            </w:r>
          </w:p>
        </w:tc>
        <w:tc>
          <w:tcPr>
            <w:tcW w:w="1746"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上一年项目数量</w:t>
            </w:r>
          </w:p>
        </w:tc>
        <w:tc>
          <w:tcPr>
            <w:tcW w:w="3857" w:type="dxa"/>
            <w:gridSpan w:val="2"/>
            <w:tcBorders>
              <w:top w:val="single" w:color="auto" w:sz="8" w:space="0"/>
              <w:left w:val="nil"/>
              <w:bottom w:val="single" w:color="auto" w:sz="8" w:space="0"/>
              <w:right w:val="single" w:color="000000"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本年增/减</w:t>
            </w:r>
          </w:p>
        </w:tc>
      </w:tr>
      <w:tr>
        <w:tblPrEx>
          <w:tblCellMar>
            <w:top w:w="0" w:type="dxa"/>
            <w:left w:w="0" w:type="dxa"/>
            <w:bottom w:w="0" w:type="dxa"/>
            <w:right w:w="0" w:type="dxa"/>
          </w:tblCellMar>
        </w:tblPrEx>
        <w:trPr>
          <w:trHeight w:val="567" w:hRule="exact"/>
          <w:jc w:val="center"/>
        </w:trPr>
        <w:tc>
          <w:tcPr>
            <w:tcW w:w="3468"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行政事业性收费</w:t>
            </w:r>
          </w:p>
        </w:tc>
        <w:tc>
          <w:tcPr>
            <w:tcW w:w="1746"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cs="Times New Roman"/>
                <w:sz w:val="20"/>
                <w:szCs w:val="21"/>
              </w:rPr>
              <w:t>6</w:t>
            </w:r>
          </w:p>
        </w:tc>
        <w:tc>
          <w:tcPr>
            <w:tcW w:w="3857" w:type="dxa"/>
            <w:gridSpan w:val="2"/>
            <w:tcBorders>
              <w:top w:val="nil"/>
              <w:left w:val="nil"/>
              <w:bottom w:val="single" w:color="auto" w:sz="8" w:space="0"/>
              <w:right w:val="single" w:color="000000"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eastAsia="宋体" w:cs="Times New Roman"/>
                <w:sz w:val="20"/>
                <w:szCs w:val="21"/>
              </w:rPr>
            </w:pPr>
            <w:r>
              <w:rPr>
                <w:rFonts w:ascii="Times New Roman" w:hAnsi="Times New Roman" w:eastAsia="宋体" w:cs="Times New Roman"/>
                <w:color w:val="000000"/>
                <w:kern w:val="0"/>
                <w:sz w:val="18"/>
                <w:szCs w:val="18"/>
              </w:rPr>
              <w:t>0</w:t>
            </w:r>
          </w:p>
        </w:tc>
      </w:tr>
      <w:tr>
        <w:tblPrEx>
          <w:tblCellMar>
            <w:top w:w="0" w:type="dxa"/>
            <w:left w:w="0" w:type="dxa"/>
            <w:bottom w:w="0" w:type="dxa"/>
            <w:right w:w="0" w:type="dxa"/>
          </w:tblCellMar>
        </w:tblPrEx>
        <w:trPr>
          <w:trHeight w:val="567" w:hRule="exact"/>
          <w:jc w:val="center"/>
        </w:trPr>
        <w:tc>
          <w:tcPr>
            <w:tcW w:w="9071" w:type="dxa"/>
            <w:gridSpan w:val="4"/>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第二十条第（九）项</w:t>
            </w:r>
          </w:p>
        </w:tc>
      </w:tr>
      <w:tr>
        <w:tblPrEx>
          <w:tblCellMar>
            <w:top w:w="0" w:type="dxa"/>
            <w:left w:w="0" w:type="dxa"/>
            <w:bottom w:w="0" w:type="dxa"/>
            <w:right w:w="0" w:type="dxa"/>
          </w:tblCellMar>
        </w:tblPrEx>
        <w:trPr>
          <w:trHeight w:val="567" w:hRule="exact"/>
          <w:jc w:val="center"/>
        </w:trPr>
        <w:tc>
          <w:tcPr>
            <w:tcW w:w="346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信息内容</w:t>
            </w:r>
          </w:p>
        </w:tc>
        <w:tc>
          <w:tcPr>
            <w:tcW w:w="174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采购项目数量</w:t>
            </w:r>
          </w:p>
        </w:tc>
        <w:tc>
          <w:tcPr>
            <w:tcW w:w="3857" w:type="dxa"/>
            <w:gridSpan w:val="2"/>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采购总金额</w:t>
            </w:r>
          </w:p>
        </w:tc>
      </w:tr>
      <w:tr>
        <w:tblPrEx>
          <w:tblCellMar>
            <w:top w:w="0" w:type="dxa"/>
            <w:left w:w="0" w:type="dxa"/>
            <w:bottom w:w="0" w:type="dxa"/>
            <w:right w:w="0" w:type="dxa"/>
          </w:tblCellMar>
        </w:tblPrEx>
        <w:trPr>
          <w:trHeight w:val="567" w:hRule="exact"/>
          <w:jc w:val="center"/>
        </w:trPr>
        <w:tc>
          <w:tcPr>
            <w:tcW w:w="346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0"/>
                <w:szCs w:val="21"/>
              </w:rPr>
            </w:pPr>
            <w:r>
              <w:rPr>
                <w:rFonts w:ascii="Times New Roman" w:hAnsi="Times New Roman" w:eastAsia="宋体" w:cs="Times New Roman"/>
                <w:color w:val="000000"/>
                <w:kern w:val="0"/>
                <w:sz w:val="18"/>
                <w:szCs w:val="18"/>
              </w:rPr>
              <w:t>政府集中采购</w:t>
            </w:r>
          </w:p>
        </w:tc>
        <w:tc>
          <w:tcPr>
            <w:tcW w:w="174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eastAsia="宋体" w:cs="Times New Roman"/>
                <w:sz w:val="20"/>
                <w:szCs w:val="21"/>
              </w:rPr>
            </w:pPr>
            <w:r>
              <w:rPr>
                <w:rFonts w:ascii="Times New Roman" w:hAnsi="Times New Roman" w:eastAsia="宋体" w:cs="Times New Roman"/>
                <w:color w:val="000000"/>
                <w:kern w:val="0"/>
                <w:sz w:val="18"/>
                <w:szCs w:val="18"/>
              </w:rPr>
              <w:t>5</w:t>
            </w:r>
          </w:p>
        </w:tc>
        <w:tc>
          <w:tcPr>
            <w:tcW w:w="3857" w:type="dxa"/>
            <w:gridSpan w:val="2"/>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autoSpaceDE w:val="0"/>
              <w:autoSpaceDN w:val="0"/>
              <w:spacing w:line="400" w:lineRule="exact"/>
              <w:jc w:val="center"/>
              <w:rPr>
                <w:rFonts w:ascii="Times New Roman" w:hAnsi="Times New Roman" w:cs="Times New Roman"/>
                <w:sz w:val="22"/>
              </w:rPr>
            </w:pPr>
            <w:r>
              <w:rPr>
                <w:rFonts w:hint="eastAsia" w:ascii="Times New Roman" w:hAnsi="Times New Roman" w:eastAsia="宋体" w:cs="Times New Roman"/>
                <w:color w:val="000000"/>
                <w:kern w:val="0"/>
                <w:sz w:val="18"/>
                <w:szCs w:val="18"/>
                <w:lang w:val="en-US" w:eastAsia="zh-CN"/>
              </w:rPr>
              <w:t>284598</w:t>
            </w:r>
            <w:r>
              <w:rPr>
                <w:rFonts w:ascii="Times New Roman" w:hAnsi="Times New Roman" w:eastAsia="宋体" w:cs="Times New Roman"/>
                <w:color w:val="000000"/>
                <w:kern w:val="0"/>
                <w:sz w:val="18"/>
                <w:szCs w:val="18"/>
              </w:rPr>
              <w:t>元</w:t>
            </w:r>
          </w:p>
        </w:tc>
      </w:tr>
    </w:tbl>
    <w:p>
      <w:pPr>
        <w:pStyle w:val="5"/>
        <w:shd w:val="clear" w:color="auto" w:fill="FFFFFF"/>
        <w:autoSpaceDE w:val="0"/>
        <w:autoSpaceDN w:val="0"/>
        <w:spacing w:beforeAutospacing="0" w:afterAutospacing="0" w:line="600" w:lineRule="exact"/>
        <w:ind w:firstLine="640" w:firstLineChars="200"/>
        <w:jc w:val="both"/>
        <w:textAlignment w:val="top"/>
        <w:rPr>
          <w:rFonts w:ascii="Times New Roman" w:hAnsi="Times New Roman" w:eastAsia="黑体"/>
          <w:kern w:val="2"/>
          <w:sz w:val="32"/>
          <w:szCs w:val="32"/>
          <w:shd w:val="clear" w:color="auto" w:fill="FFFFFF"/>
        </w:rPr>
      </w:pPr>
    </w:p>
    <w:p>
      <w:pPr>
        <w:autoSpaceDE w:val="0"/>
        <w:autoSpaceDN w:val="0"/>
        <w:spacing w:line="600" w:lineRule="exact"/>
        <w:ind w:firstLine="640" w:firstLineChars="200"/>
        <w:rPr>
          <w:rFonts w:ascii="Times New Roman" w:hAnsi="Times New Roman" w:eastAsia="黑体" w:cs="Times New Roman"/>
          <w:sz w:val="32"/>
          <w:szCs w:val="32"/>
          <w:shd w:val="clear" w:color="auto" w:fill="FFFFFF"/>
        </w:rPr>
      </w:pPr>
    </w:p>
    <w:p>
      <w:pPr>
        <w:autoSpaceDE w:val="0"/>
        <w:autoSpaceDN w:val="0"/>
        <w:spacing w:line="600" w:lineRule="exact"/>
        <w:ind w:firstLine="640" w:firstLineChars="200"/>
        <w:rPr>
          <w:rFonts w:ascii="Times New Roman" w:hAnsi="Times New Roman" w:eastAsia="黑体" w:cs="Times New Roman"/>
          <w:sz w:val="32"/>
          <w:szCs w:val="32"/>
          <w:shd w:val="clear" w:color="auto" w:fill="FFFFFF"/>
        </w:rPr>
      </w:pPr>
      <w:r>
        <w:rPr>
          <w:rFonts w:ascii="Times New Roman" w:hAnsi="Times New Roman" w:eastAsia="黑体" w:cs="Times New Roman"/>
          <w:sz w:val="32"/>
          <w:szCs w:val="32"/>
          <w:shd w:val="clear" w:color="auto" w:fill="FFFFFF"/>
        </w:rPr>
        <w:t>三、收到和处理政府信息公开申请情况</w:t>
      </w:r>
    </w:p>
    <w:tbl>
      <w:tblPr>
        <w:tblStyle w:val="6"/>
        <w:tblW w:w="998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515"/>
        <w:gridCol w:w="1107"/>
        <w:gridCol w:w="2546"/>
        <w:gridCol w:w="878"/>
        <w:gridCol w:w="735"/>
        <w:gridCol w:w="700"/>
        <w:gridCol w:w="810"/>
        <w:gridCol w:w="1031"/>
        <w:gridCol w:w="912"/>
        <w:gridCol w:w="74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exact"/>
          <w:tblHeader/>
          <w:jc w:val="center"/>
        </w:trPr>
        <w:tc>
          <w:tcPr>
            <w:tcW w:w="4168" w:type="dxa"/>
            <w:gridSpan w:val="3"/>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0"/>
              </w:rPr>
            </w:pPr>
            <w:r>
              <w:rPr>
                <w:rFonts w:ascii="Times New Roman" w:hAnsi="Times New Roman" w:eastAsia="黑体" w:cs="Times New Roman"/>
                <w:kern w:val="0"/>
                <w:szCs w:val="16"/>
              </w:rPr>
              <w:t>（本列数据的勾稽关系为：第一项加第二项之和，等于第三项加第四项之和）</w:t>
            </w:r>
          </w:p>
        </w:tc>
        <w:tc>
          <w:tcPr>
            <w:tcW w:w="5812" w:type="dxa"/>
            <w:gridSpan w:val="7"/>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0"/>
              </w:rPr>
            </w:pPr>
            <w:r>
              <w:rPr>
                <w:rFonts w:ascii="Times New Roman" w:hAnsi="Times New Roman" w:eastAsia="黑体" w:cs="Times New Roman"/>
                <w:kern w:val="0"/>
                <w:szCs w:val="16"/>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exact"/>
          <w:tblHeader/>
          <w:jc w:val="center"/>
        </w:trPr>
        <w:tc>
          <w:tcPr>
            <w:tcW w:w="4168"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eastAsia="黑体" w:cs="Times New Roman"/>
                <w:szCs w:val="21"/>
              </w:rPr>
            </w:pPr>
          </w:p>
        </w:tc>
        <w:tc>
          <w:tcPr>
            <w:tcW w:w="87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0"/>
              </w:rPr>
            </w:pPr>
            <w:r>
              <w:rPr>
                <w:rFonts w:ascii="Times New Roman" w:hAnsi="Times New Roman" w:eastAsia="黑体" w:cs="Times New Roman"/>
                <w:kern w:val="0"/>
                <w:szCs w:val="16"/>
              </w:rPr>
              <w:t>自然人</w:t>
            </w:r>
          </w:p>
        </w:tc>
        <w:tc>
          <w:tcPr>
            <w:tcW w:w="4188"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0"/>
              </w:rPr>
            </w:pPr>
            <w:r>
              <w:rPr>
                <w:rFonts w:ascii="Times New Roman" w:hAnsi="Times New Roman" w:eastAsia="黑体" w:cs="Times New Roman"/>
                <w:kern w:val="0"/>
                <w:szCs w:val="16"/>
              </w:rPr>
              <w:t>法人或其他组织</w:t>
            </w:r>
          </w:p>
        </w:tc>
        <w:tc>
          <w:tcPr>
            <w:tcW w:w="746"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0"/>
              </w:rPr>
            </w:pPr>
            <w:r>
              <w:rPr>
                <w:rFonts w:ascii="Times New Roman" w:hAnsi="Times New Roman" w:eastAsia="黑体" w:cs="Times New Roman"/>
                <w:kern w:val="0"/>
                <w:szCs w:val="16"/>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35" w:hRule="exact"/>
          <w:tblHeader/>
          <w:jc w:val="center"/>
        </w:trPr>
        <w:tc>
          <w:tcPr>
            <w:tcW w:w="4168"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eastAsia="黑体" w:cs="Times New Roman"/>
                <w:szCs w:val="21"/>
              </w:rPr>
            </w:pPr>
          </w:p>
        </w:tc>
        <w:tc>
          <w:tcPr>
            <w:tcW w:w="87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eastAsia="黑体" w:cs="Times New Roman"/>
                <w:szCs w:val="21"/>
              </w:rPr>
            </w:pPr>
          </w:p>
        </w:tc>
        <w:tc>
          <w:tcPr>
            <w:tcW w:w="735"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0"/>
              </w:rPr>
            </w:pPr>
            <w:r>
              <w:rPr>
                <w:rFonts w:ascii="Times New Roman" w:hAnsi="Times New Roman" w:eastAsia="黑体" w:cs="Times New Roman"/>
                <w:kern w:val="0"/>
                <w:szCs w:val="16"/>
              </w:rPr>
              <w:t>商业企业</w:t>
            </w:r>
          </w:p>
        </w:tc>
        <w:tc>
          <w:tcPr>
            <w:tcW w:w="70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0"/>
              </w:rPr>
            </w:pPr>
            <w:r>
              <w:rPr>
                <w:rFonts w:ascii="Times New Roman" w:hAnsi="Times New Roman" w:eastAsia="黑体" w:cs="Times New Roman"/>
                <w:kern w:val="0"/>
                <w:szCs w:val="16"/>
              </w:rPr>
              <w:t>科研机构</w:t>
            </w:r>
          </w:p>
        </w:tc>
        <w:tc>
          <w:tcPr>
            <w:tcW w:w="81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0"/>
              </w:rPr>
            </w:pPr>
            <w:r>
              <w:rPr>
                <w:rFonts w:ascii="Times New Roman" w:hAnsi="Times New Roman" w:eastAsia="黑体" w:cs="Times New Roman"/>
                <w:kern w:val="0"/>
                <w:szCs w:val="16"/>
              </w:rPr>
              <w:t>社会公益组织</w:t>
            </w:r>
          </w:p>
        </w:tc>
        <w:tc>
          <w:tcPr>
            <w:tcW w:w="103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0"/>
              </w:rPr>
            </w:pPr>
            <w:r>
              <w:rPr>
                <w:rFonts w:ascii="Times New Roman" w:hAnsi="Times New Roman" w:eastAsia="黑体" w:cs="Times New Roman"/>
                <w:kern w:val="0"/>
                <w:szCs w:val="16"/>
              </w:rPr>
              <w:t>法律服务机构</w:t>
            </w:r>
          </w:p>
        </w:tc>
        <w:tc>
          <w:tcPr>
            <w:tcW w:w="91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0"/>
              </w:rPr>
            </w:pPr>
            <w:r>
              <w:rPr>
                <w:rFonts w:ascii="Times New Roman" w:hAnsi="Times New Roman" w:eastAsia="黑体" w:cs="Times New Roman"/>
                <w:kern w:val="0"/>
                <w:szCs w:val="16"/>
              </w:rPr>
              <w:t>其他</w:t>
            </w:r>
          </w:p>
        </w:tc>
        <w:tc>
          <w:tcPr>
            <w:tcW w:w="746"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eastAsia="黑体" w:cs="Times New Roman"/>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exact"/>
          <w:jc w:val="center"/>
        </w:trPr>
        <w:tc>
          <w:tcPr>
            <w:tcW w:w="416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cs="Times New Roman"/>
                <w:szCs w:val="20"/>
              </w:rPr>
            </w:pPr>
            <w:r>
              <w:rPr>
                <w:rFonts w:ascii="Times New Roman" w:hAnsi="Times New Roman" w:eastAsia="宋体" w:cs="Times New Roman"/>
                <w:kern w:val="0"/>
                <w:szCs w:val="16"/>
              </w:rPr>
              <w:t>一、本年新收政府信息公开申请数量</w:t>
            </w:r>
          </w:p>
        </w:tc>
        <w:tc>
          <w:tcPr>
            <w:tcW w:w="878"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hint="default" w:ascii="Times New Roman" w:hAnsi="Times New Roman" w:cs="Times New Roman" w:eastAsiaTheme="minorEastAsia"/>
                <w:szCs w:val="20"/>
                <w:lang w:val="en-US" w:eastAsia="zh-CN"/>
              </w:rPr>
            </w:pPr>
            <w:r>
              <w:rPr>
                <w:rFonts w:hint="eastAsia" w:ascii="Times New Roman" w:hAnsi="Times New Roman" w:cs="Times New Roman"/>
                <w:kern w:val="0"/>
                <w:szCs w:val="16"/>
                <w:lang w:val="en-US" w:eastAsia="zh-CN"/>
              </w:rPr>
              <w:t>11</w:t>
            </w:r>
          </w:p>
        </w:tc>
        <w:tc>
          <w:tcPr>
            <w:tcW w:w="735"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hint="eastAsia" w:ascii="Times New Roman" w:hAnsi="Times New Roman" w:cs="Times New Roman" w:eastAsiaTheme="minorEastAsia"/>
                <w:szCs w:val="20"/>
                <w:lang w:eastAsia="zh-CN"/>
              </w:rPr>
            </w:pPr>
            <w:r>
              <w:rPr>
                <w:rFonts w:hint="eastAsia" w:ascii="Times New Roman" w:hAnsi="Times New Roman" w:cs="Times New Roman"/>
                <w:kern w:val="0"/>
                <w:szCs w:val="16"/>
                <w:lang w:val="en-US" w:eastAsia="zh-CN"/>
              </w:rPr>
              <w:t>0</w:t>
            </w:r>
          </w:p>
        </w:tc>
        <w:tc>
          <w:tcPr>
            <w:tcW w:w="70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cs="Times New Roman"/>
                <w:szCs w:val="20"/>
              </w:rPr>
            </w:pPr>
            <w:r>
              <w:rPr>
                <w:rFonts w:ascii="Times New Roman" w:hAnsi="Times New Roman" w:cs="Times New Roman"/>
                <w:kern w:val="0"/>
                <w:szCs w:val="16"/>
              </w:rPr>
              <w:t> </w:t>
            </w:r>
          </w:p>
        </w:tc>
        <w:tc>
          <w:tcPr>
            <w:tcW w:w="81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cs="Times New Roman"/>
                <w:szCs w:val="20"/>
              </w:rPr>
            </w:pPr>
            <w:r>
              <w:rPr>
                <w:rFonts w:ascii="Times New Roman" w:hAnsi="Times New Roman" w:cs="Times New Roman"/>
                <w:kern w:val="0"/>
                <w:szCs w:val="16"/>
              </w:rPr>
              <w:t> </w:t>
            </w:r>
          </w:p>
        </w:tc>
        <w:tc>
          <w:tcPr>
            <w:tcW w:w="1031"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cs="Times New Roman"/>
                <w:szCs w:val="20"/>
              </w:rPr>
            </w:pPr>
            <w:r>
              <w:rPr>
                <w:rFonts w:ascii="Times New Roman" w:hAnsi="Times New Roman" w:cs="Times New Roman"/>
                <w:kern w:val="0"/>
                <w:szCs w:val="16"/>
              </w:rPr>
              <w:t> </w:t>
            </w:r>
          </w:p>
        </w:tc>
        <w:tc>
          <w:tcPr>
            <w:tcW w:w="912"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cs="Times New Roman"/>
                <w:szCs w:val="20"/>
              </w:rPr>
            </w:pPr>
            <w:r>
              <w:rPr>
                <w:rFonts w:ascii="Times New Roman" w:hAnsi="Times New Roman" w:cs="Times New Roman"/>
                <w:kern w:val="0"/>
                <w:szCs w:val="16"/>
              </w:rPr>
              <w:t> </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hint="default" w:ascii="Times New Roman" w:hAnsi="Times New Roman" w:cs="Times New Roman" w:eastAsiaTheme="minorEastAsia"/>
                <w:szCs w:val="20"/>
                <w:lang w:val="en-US" w:eastAsia="zh-CN"/>
              </w:rPr>
            </w:pPr>
            <w:r>
              <w:rPr>
                <w:rFonts w:hint="eastAsia" w:ascii="Times New Roman" w:hAnsi="Times New Roman" w:cs="Times New Roman"/>
                <w:kern w:val="0"/>
                <w:szCs w:val="16"/>
                <w:lang w:val="en-US" w:eastAsia="zh-CN"/>
              </w:rPr>
              <w:t>11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exact"/>
          <w:jc w:val="center"/>
        </w:trPr>
        <w:tc>
          <w:tcPr>
            <w:tcW w:w="416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cs="Times New Roman"/>
                <w:szCs w:val="20"/>
              </w:rPr>
            </w:pPr>
            <w:r>
              <w:rPr>
                <w:rFonts w:ascii="Times New Roman" w:hAnsi="Times New Roman" w:eastAsia="宋体" w:cs="Times New Roman"/>
                <w:kern w:val="0"/>
                <w:szCs w:val="16"/>
              </w:rPr>
              <w:t>二、上年结转政府信息公开申请数量</w:t>
            </w:r>
          </w:p>
        </w:tc>
        <w:tc>
          <w:tcPr>
            <w:tcW w:w="878"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cs="Times New Roman"/>
                <w:szCs w:val="20"/>
              </w:rPr>
            </w:pPr>
            <w:r>
              <w:rPr>
                <w:rFonts w:ascii="Times New Roman" w:hAnsi="Times New Roman" w:cs="Times New Roman"/>
                <w:kern w:val="0"/>
                <w:szCs w:val="16"/>
              </w:rPr>
              <w:t> </w:t>
            </w:r>
          </w:p>
        </w:tc>
        <w:tc>
          <w:tcPr>
            <w:tcW w:w="735"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cs="Times New Roman"/>
                <w:szCs w:val="20"/>
              </w:rPr>
            </w:pPr>
            <w:r>
              <w:rPr>
                <w:rFonts w:ascii="Times New Roman" w:hAnsi="Times New Roman" w:cs="Times New Roman"/>
                <w:kern w:val="0"/>
                <w:szCs w:val="16"/>
              </w:rPr>
              <w:t> </w:t>
            </w:r>
          </w:p>
        </w:tc>
        <w:tc>
          <w:tcPr>
            <w:tcW w:w="70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cs="Times New Roman"/>
                <w:szCs w:val="20"/>
              </w:rPr>
            </w:pPr>
            <w:r>
              <w:rPr>
                <w:rFonts w:ascii="Times New Roman" w:hAnsi="Times New Roman" w:cs="Times New Roman"/>
                <w:kern w:val="0"/>
                <w:szCs w:val="16"/>
              </w:rPr>
              <w:t> </w:t>
            </w:r>
          </w:p>
        </w:tc>
        <w:tc>
          <w:tcPr>
            <w:tcW w:w="81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cs="Times New Roman"/>
                <w:szCs w:val="20"/>
              </w:rPr>
            </w:pPr>
            <w:r>
              <w:rPr>
                <w:rFonts w:ascii="Times New Roman" w:hAnsi="Times New Roman" w:cs="Times New Roman"/>
                <w:kern w:val="0"/>
                <w:szCs w:val="16"/>
              </w:rPr>
              <w:t> </w:t>
            </w:r>
          </w:p>
        </w:tc>
        <w:tc>
          <w:tcPr>
            <w:tcW w:w="1031"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cs="Times New Roman"/>
                <w:szCs w:val="20"/>
              </w:rPr>
            </w:pPr>
            <w:r>
              <w:rPr>
                <w:rFonts w:ascii="Times New Roman" w:hAnsi="Times New Roman" w:cs="Times New Roman"/>
                <w:kern w:val="0"/>
                <w:szCs w:val="16"/>
              </w:rPr>
              <w:t> </w:t>
            </w:r>
          </w:p>
        </w:tc>
        <w:tc>
          <w:tcPr>
            <w:tcW w:w="912"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cs="Times New Roman"/>
                <w:szCs w:val="20"/>
              </w:rPr>
            </w:pPr>
            <w:r>
              <w:rPr>
                <w:rFonts w:ascii="Times New Roman" w:hAnsi="Times New Roman" w:cs="Times New Roman"/>
                <w:kern w:val="0"/>
                <w:szCs w:val="16"/>
              </w:rPr>
              <w:t> </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hint="eastAsia" w:ascii="Times New Roman" w:hAnsi="Times New Roman" w:cs="Times New Roman" w:eastAsiaTheme="minorEastAsia"/>
                <w:szCs w:val="20"/>
                <w:lang w:val="en-US" w:eastAsia="zh-CN"/>
              </w:rPr>
            </w:pPr>
            <w:r>
              <w:rPr>
                <w:rFonts w:hint="eastAsia" w:ascii="Times New Roman" w:hAnsi="Times New Roman" w:cs="Times New Roman"/>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exact"/>
          <w:jc w:val="center"/>
        </w:trPr>
        <w:tc>
          <w:tcPr>
            <w:tcW w:w="515" w:type="dxa"/>
            <w:vMerge w:val="restart"/>
            <w:tcBorders>
              <w:top w:val="single" w:color="auto" w:sz="8" w:space="0"/>
              <w:left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cs="Times New Roman"/>
                <w:szCs w:val="21"/>
              </w:rPr>
            </w:pPr>
            <w:r>
              <w:rPr>
                <w:rFonts w:ascii="Times New Roman" w:hAnsi="Times New Roman" w:eastAsia="宋体" w:cs="Times New Roman"/>
                <w:kern w:val="0"/>
                <w:szCs w:val="18"/>
              </w:rPr>
              <w:t>三、本年度办理结果</w:t>
            </w:r>
          </w:p>
        </w:tc>
        <w:tc>
          <w:tcPr>
            <w:tcW w:w="3653"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cs="Times New Roman"/>
                <w:szCs w:val="21"/>
              </w:rPr>
            </w:pPr>
            <w:r>
              <w:rPr>
                <w:rFonts w:ascii="Times New Roman" w:hAnsi="Times New Roman" w:eastAsia="楷体" w:cs="Times New Roman"/>
                <w:kern w:val="0"/>
                <w:szCs w:val="18"/>
              </w:rPr>
              <w:t>（一）予以公开</w:t>
            </w:r>
          </w:p>
        </w:tc>
        <w:tc>
          <w:tcPr>
            <w:tcW w:w="878"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kern w:val="0"/>
                <w:szCs w:val="18"/>
                <w:lang w:val="en-US" w:eastAsia="zh-CN"/>
              </w:rPr>
              <w:t>9</w:t>
            </w:r>
          </w:p>
        </w:tc>
        <w:tc>
          <w:tcPr>
            <w:tcW w:w="735"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0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81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103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91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4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kern w:val="0"/>
                <w:szCs w:val="18"/>
                <w:lang w:val="en-US" w:eastAsia="zh-CN"/>
              </w:rPr>
              <w:t>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5" w:hRule="exact"/>
          <w:jc w:val="center"/>
        </w:trPr>
        <w:tc>
          <w:tcPr>
            <w:tcW w:w="515" w:type="dxa"/>
            <w:vMerge w:val="continue"/>
            <w:tcBorders>
              <w:left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rPr>
            </w:pPr>
          </w:p>
        </w:tc>
        <w:tc>
          <w:tcPr>
            <w:tcW w:w="3653"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utoSpaceDE w:val="0"/>
              <w:autoSpaceDN w:val="0"/>
              <w:spacing w:line="300" w:lineRule="exact"/>
              <w:rPr>
                <w:rFonts w:ascii="Times New Roman" w:hAnsi="Times New Roman" w:cs="Times New Roman"/>
                <w:szCs w:val="21"/>
              </w:rPr>
            </w:pPr>
            <w:r>
              <w:rPr>
                <w:rFonts w:ascii="Times New Roman" w:hAnsi="Times New Roman" w:eastAsia="楷体" w:cs="Times New Roman"/>
                <w:kern w:val="0"/>
                <w:szCs w:val="18"/>
              </w:rPr>
              <w:t>（二）部分公开（区分处理的，只计这一情形，不计其他情形）</w:t>
            </w:r>
          </w:p>
        </w:tc>
        <w:tc>
          <w:tcPr>
            <w:tcW w:w="878"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35"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0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81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103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91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4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1" w:hRule="exact"/>
          <w:jc w:val="center"/>
        </w:trPr>
        <w:tc>
          <w:tcPr>
            <w:tcW w:w="515" w:type="dxa"/>
            <w:vMerge w:val="continue"/>
            <w:tcBorders>
              <w:left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rPr>
            </w:pPr>
          </w:p>
        </w:tc>
        <w:tc>
          <w:tcPr>
            <w:tcW w:w="1107"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rPr>
                <w:rFonts w:ascii="Times New Roman" w:hAnsi="Times New Roman" w:cs="Times New Roman"/>
                <w:szCs w:val="21"/>
              </w:rPr>
            </w:pPr>
            <w:r>
              <w:rPr>
                <w:rFonts w:ascii="Times New Roman" w:hAnsi="Times New Roman" w:eastAsia="楷体" w:cs="Times New Roman"/>
                <w:kern w:val="0"/>
                <w:szCs w:val="18"/>
              </w:rPr>
              <w:t>（三）不予公开</w:t>
            </w:r>
          </w:p>
        </w:tc>
        <w:tc>
          <w:tcPr>
            <w:tcW w:w="254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utoSpaceDE w:val="0"/>
              <w:autoSpaceDN w:val="0"/>
              <w:spacing w:line="360" w:lineRule="exact"/>
              <w:rPr>
                <w:rFonts w:ascii="Times New Roman" w:hAnsi="Times New Roman" w:cs="Times New Roman"/>
                <w:szCs w:val="21"/>
              </w:rPr>
            </w:pPr>
            <w:r>
              <w:rPr>
                <w:rFonts w:ascii="Times New Roman" w:hAnsi="Times New Roman" w:eastAsia="楷体" w:cs="Times New Roman"/>
                <w:kern w:val="0"/>
                <w:szCs w:val="18"/>
              </w:rPr>
              <w:t>1．属于国家秘密</w:t>
            </w:r>
          </w:p>
        </w:tc>
        <w:tc>
          <w:tcPr>
            <w:tcW w:w="878"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35"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0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81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103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91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4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97" w:hRule="exact"/>
          <w:jc w:val="center"/>
        </w:trPr>
        <w:tc>
          <w:tcPr>
            <w:tcW w:w="515" w:type="dxa"/>
            <w:vMerge w:val="continue"/>
            <w:tcBorders>
              <w:left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rPr>
            </w:pPr>
          </w:p>
        </w:tc>
        <w:tc>
          <w:tcPr>
            <w:tcW w:w="1107"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rPr>
                <w:rFonts w:ascii="Times New Roman" w:hAnsi="Times New Roman" w:cs="Times New Roman"/>
              </w:rPr>
            </w:pPr>
          </w:p>
        </w:tc>
        <w:tc>
          <w:tcPr>
            <w:tcW w:w="254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utoSpaceDE w:val="0"/>
              <w:autoSpaceDN w:val="0"/>
              <w:spacing w:line="300" w:lineRule="exact"/>
              <w:rPr>
                <w:rFonts w:ascii="Times New Roman" w:hAnsi="Times New Roman" w:cs="Times New Roman"/>
                <w:szCs w:val="21"/>
              </w:rPr>
            </w:pPr>
            <w:r>
              <w:rPr>
                <w:rFonts w:ascii="Times New Roman" w:hAnsi="Times New Roman" w:eastAsia="楷体" w:cs="Times New Roman"/>
                <w:kern w:val="0"/>
                <w:szCs w:val="18"/>
              </w:rPr>
              <w:t>2．其他法律行政法规禁止公开</w:t>
            </w:r>
          </w:p>
        </w:tc>
        <w:tc>
          <w:tcPr>
            <w:tcW w:w="878"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35"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0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81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103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91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4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16" w:hRule="exact"/>
          <w:jc w:val="center"/>
        </w:trPr>
        <w:tc>
          <w:tcPr>
            <w:tcW w:w="515" w:type="dxa"/>
            <w:vMerge w:val="continue"/>
            <w:tcBorders>
              <w:left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rPr>
            </w:pPr>
          </w:p>
        </w:tc>
        <w:tc>
          <w:tcPr>
            <w:tcW w:w="1107"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rPr>
                <w:rFonts w:ascii="Times New Roman" w:hAnsi="Times New Roman" w:cs="Times New Roman"/>
              </w:rPr>
            </w:pPr>
          </w:p>
        </w:tc>
        <w:tc>
          <w:tcPr>
            <w:tcW w:w="254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utoSpaceDE w:val="0"/>
              <w:autoSpaceDN w:val="0"/>
              <w:spacing w:line="360" w:lineRule="exact"/>
              <w:rPr>
                <w:rFonts w:ascii="Times New Roman" w:hAnsi="Times New Roman" w:cs="Times New Roman"/>
                <w:szCs w:val="21"/>
              </w:rPr>
            </w:pPr>
            <w:r>
              <w:rPr>
                <w:rFonts w:ascii="Times New Roman" w:hAnsi="Times New Roman" w:eastAsia="楷体" w:cs="Times New Roman"/>
                <w:kern w:val="0"/>
                <w:szCs w:val="18"/>
              </w:rPr>
              <w:t>3．危及“三安全一稳定”</w:t>
            </w:r>
          </w:p>
        </w:tc>
        <w:tc>
          <w:tcPr>
            <w:tcW w:w="878"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35"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0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81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103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91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4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2" w:hRule="exact"/>
          <w:jc w:val="center"/>
        </w:trPr>
        <w:tc>
          <w:tcPr>
            <w:tcW w:w="515" w:type="dxa"/>
            <w:vMerge w:val="continue"/>
            <w:tcBorders>
              <w:left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rPr>
            </w:pPr>
          </w:p>
        </w:tc>
        <w:tc>
          <w:tcPr>
            <w:tcW w:w="1107"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rPr>
                <w:rFonts w:ascii="Times New Roman" w:hAnsi="Times New Roman" w:cs="Times New Roman"/>
              </w:rPr>
            </w:pPr>
          </w:p>
        </w:tc>
        <w:tc>
          <w:tcPr>
            <w:tcW w:w="254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utoSpaceDE w:val="0"/>
              <w:autoSpaceDN w:val="0"/>
              <w:spacing w:line="360" w:lineRule="exact"/>
              <w:rPr>
                <w:rFonts w:ascii="Times New Roman" w:hAnsi="Times New Roman" w:cs="Times New Roman"/>
                <w:szCs w:val="21"/>
              </w:rPr>
            </w:pPr>
            <w:r>
              <w:rPr>
                <w:rFonts w:ascii="Times New Roman" w:hAnsi="Times New Roman" w:eastAsia="楷体" w:cs="Times New Roman"/>
                <w:kern w:val="0"/>
                <w:szCs w:val="18"/>
              </w:rPr>
              <w:t>4．保护第三方合法权益</w:t>
            </w:r>
          </w:p>
        </w:tc>
        <w:tc>
          <w:tcPr>
            <w:tcW w:w="878"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35"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0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81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103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91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4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8" w:hRule="exact"/>
          <w:jc w:val="center"/>
        </w:trPr>
        <w:tc>
          <w:tcPr>
            <w:tcW w:w="515" w:type="dxa"/>
            <w:vMerge w:val="continue"/>
            <w:tcBorders>
              <w:left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rPr>
            </w:pPr>
          </w:p>
        </w:tc>
        <w:tc>
          <w:tcPr>
            <w:tcW w:w="1107"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rPr>
                <w:rFonts w:ascii="Times New Roman" w:hAnsi="Times New Roman" w:cs="Times New Roman"/>
              </w:rPr>
            </w:pPr>
          </w:p>
        </w:tc>
        <w:tc>
          <w:tcPr>
            <w:tcW w:w="254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utoSpaceDE w:val="0"/>
              <w:autoSpaceDN w:val="0"/>
              <w:spacing w:line="360" w:lineRule="exact"/>
              <w:rPr>
                <w:rFonts w:ascii="Times New Roman" w:hAnsi="Times New Roman" w:cs="Times New Roman"/>
                <w:szCs w:val="21"/>
              </w:rPr>
            </w:pPr>
            <w:r>
              <w:rPr>
                <w:rFonts w:ascii="Times New Roman" w:hAnsi="Times New Roman" w:eastAsia="楷体" w:cs="Times New Roman"/>
                <w:kern w:val="0"/>
                <w:szCs w:val="18"/>
              </w:rPr>
              <w:t>5．属于三类内部事务信息</w:t>
            </w:r>
          </w:p>
        </w:tc>
        <w:tc>
          <w:tcPr>
            <w:tcW w:w="878"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35"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0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81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103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91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4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19" w:hRule="exact"/>
          <w:jc w:val="center"/>
        </w:trPr>
        <w:tc>
          <w:tcPr>
            <w:tcW w:w="515" w:type="dxa"/>
            <w:vMerge w:val="continue"/>
            <w:tcBorders>
              <w:left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rPr>
            </w:pPr>
          </w:p>
        </w:tc>
        <w:tc>
          <w:tcPr>
            <w:tcW w:w="1107"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rPr>
                <w:rFonts w:ascii="Times New Roman" w:hAnsi="Times New Roman" w:cs="Times New Roman"/>
              </w:rPr>
            </w:pPr>
          </w:p>
        </w:tc>
        <w:tc>
          <w:tcPr>
            <w:tcW w:w="254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utoSpaceDE w:val="0"/>
              <w:autoSpaceDN w:val="0"/>
              <w:spacing w:line="360" w:lineRule="exact"/>
              <w:rPr>
                <w:rFonts w:ascii="Times New Roman" w:hAnsi="Times New Roman" w:cs="Times New Roman"/>
                <w:szCs w:val="21"/>
              </w:rPr>
            </w:pPr>
            <w:r>
              <w:rPr>
                <w:rFonts w:ascii="Times New Roman" w:hAnsi="Times New Roman" w:eastAsia="楷体" w:cs="Times New Roman"/>
                <w:kern w:val="0"/>
                <w:szCs w:val="18"/>
              </w:rPr>
              <w:t>6．属于四类过程性信息</w:t>
            </w:r>
          </w:p>
        </w:tc>
        <w:tc>
          <w:tcPr>
            <w:tcW w:w="878"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35"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0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81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103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91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4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5" w:hRule="exact"/>
          <w:jc w:val="center"/>
        </w:trPr>
        <w:tc>
          <w:tcPr>
            <w:tcW w:w="515" w:type="dxa"/>
            <w:vMerge w:val="continue"/>
            <w:tcBorders>
              <w:left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rPr>
                <w:rFonts w:ascii="Times New Roman" w:hAnsi="Times New Roman" w:cs="Times New Roman"/>
              </w:rPr>
            </w:pPr>
          </w:p>
        </w:tc>
        <w:tc>
          <w:tcPr>
            <w:tcW w:w="1107"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rPr>
                <w:rFonts w:ascii="Times New Roman" w:hAnsi="Times New Roman" w:cs="Times New Roman"/>
              </w:rPr>
            </w:pPr>
          </w:p>
        </w:tc>
        <w:tc>
          <w:tcPr>
            <w:tcW w:w="254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360" w:lineRule="exact"/>
              <w:rPr>
                <w:rFonts w:ascii="Times New Roman" w:hAnsi="Times New Roman" w:cs="Times New Roman"/>
                <w:szCs w:val="21"/>
              </w:rPr>
            </w:pPr>
            <w:r>
              <w:rPr>
                <w:rFonts w:ascii="Times New Roman" w:hAnsi="Times New Roman" w:eastAsia="楷体" w:cs="Times New Roman"/>
                <w:kern w:val="0"/>
                <w:szCs w:val="18"/>
              </w:rPr>
              <w:t>7．属于行政执法案卷</w:t>
            </w:r>
          </w:p>
        </w:tc>
        <w:tc>
          <w:tcPr>
            <w:tcW w:w="87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3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0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81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103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91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4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6" w:hRule="exact"/>
          <w:jc w:val="center"/>
        </w:trPr>
        <w:tc>
          <w:tcPr>
            <w:tcW w:w="515" w:type="dxa"/>
            <w:vMerge w:val="continue"/>
            <w:tcBorders>
              <w:left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rPr>
                <w:rFonts w:ascii="Times New Roman" w:hAnsi="Times New Roman" w:cs="Times New Roman"/>
              </w:rPr>
            </w:pPr>
          </w:p>
        </w:tc>
        <w:tc>
          <w:tcPr>
            <w:tcW w:w="1107"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rPr>
                <w:rFonts w:ascii="Times New Roman" w:hAnsi="Times New Roman" w:cs="Times New Roman"/>
              </w:rPr>
            </w:pPr>
          </w:p>
        </w:tc>
        <w:tc>
          <w:tcPr>
            <w:tcW w:w="2546"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360" w:lineRule="exact"/>
              <w:rPr>
                <w:rFonts w:ascii="Times New Roman" w:hAnsi="Times New Roman" w:cs="Times New Roman"/>
                <w:szCs w:val="21"/>
              </w:rPr>
            </w:pPr>
            <w:r>
              <w:rPr>
                <w:rFonts w:ascii="Times New Roman" w:hAnsi="Times New Roman" w:eastAsia="楷体" w:cs="Times New Roman"/>
                <w:kern w:val="0"/>
                <w:szCs w:val="18"/>
              </w:rPr>
              <w:t>8．属于行政查询事项</w:t>
            </w:r>
          </w:p>
        </w:tc>
        <w:tc>
          <w:tcPr>
            <w:tcW w:w="878"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35"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0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81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1031"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912"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23" w:hRule="exact"/>
          <w:jc w:val="center"/>
        </w:trPr>
        <w:tc>
          <w:tcPr>
            <w:tcW w:w="515" w:type="dxa"/>
            <w:vMerge w:val="continue"/>
            <w:tcBorders>
              <w:left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rPr>
                <w:rFonts w:ascii="Times New Roman" w:hAnsi="Times New Roman" w:cs="Times New Roman"/>
              </w:rPr>
            </w:pPr>
          </w:p>
        </w:tc>
        <w:tc>
          <w:tcPr>
            <w:tcW w:w="1107"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rPr>
                <w:rFonts w:ascii="Times New Roman" w:hAnsi="Times New Roman" w:cs="Times New Roman"/>
                <w:szCs w:val="21"/>
              </w:rPr>
            </w:pPr>
            <w:r>
              <w:rPr>
                <w:rFonts w:ascii="Times New Roman" w:hAnsi="Times New Roman" w:eastAsia="楷体" w:cs="Times New Roman"/>
                <w:kern w:val="0"/>
                <w:szCs w:val="18"/>
              </w:rPr>
              <w:t>（四）无法提供</w:t>
            </w:r>
          </w:p>
        </w:tc>
        <w:tc>
          <w:tcPr>
            <w:tcW w:w="2546"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360" w:lineRule="exact"/>
              <w:rPr>
                <w:rFonts w:ascii="Times New Roman" w:hAnsi="Times New Roman" w:cs="Times New Roman"/>
                <w:szCs w:val="21"/>
              </w:rPr>
            </w:pPr>
            <w:r>
              <w:rPr>
                <w:rFonts w:ascii="Times New Roman" w:hAnsi="Times New Roman" w:eastAsia="楷体" w:cs="Times New Roman"/>
                <w:kern w:val="0"/>
                <w:szCs w:val="18"/>
              </w:rPr>
              <w:t>1．本机关不掌握相关政府信息</w:t>
            </w:r>
          </w:p>
        </w:tc>
        <w:tc>
          <w:tcPr>
            <w:tcW w:w="878"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kern w:val="0"/>
                <w:szCs w:val="18"/>
                <w:lang w:val="en-US" w:eastAsia="zh-CN"/>
              </w:rPr>
              <w:t>2</w:t>
            </w:r>
          </w:p>
        </w:tc>
        <w:tc>
          <w:tcPr>
            <w:tcW w:w="735"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hint="eastAsia" w:ascii="Times New Roman" w:hAnsi="Times New Roman" w:cs="Times New Roman" w:eastAsiaTheme="minorEastAsia"/>
                <w:szCs w:val="21"/>
                <w:lang w:val="en-US" w:eastAsia="zh-CN"/>
              </w:rPr>
            </w:pPr>
            <w:r>
              <w:rPr>
                <w:rFonts w:ascii="Times New Roman" w:hAnsi="Times New Roman" w:cs="Times New Roman"/>
                <w:kern w:val="0"/>
                <w:szCs w:val="18"/>
              </w:rPr>
              <w:t> </w:t>
            </w:r>
          </w:p>
        </w:tc>
        <w:tc>
          <w:tcPr>
            <w:tcW w:w="70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81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1031"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912"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2 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03" w:hRule="exact"/>
          <w:jc w:val="center"/>
        </w:trPr>
        <w:tc>
          <w:tcPr>
            <w:tcW w:w="515" w:type="dxa"/>
            <w:vMerge w:val="continue"/>
            <w:tcBorders>
              <w:left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rPr>
                <w:rFonts w:ascii="Times New Roman" w:hAnsi="Times New Roman" w:cs="Times New Roman"/>
              </w:rPr>
            </w:pPr>
          </w:p>
        </w:tc>
        <w:tc>
          <w:tcPr>
            <w:tcW w:w="1107"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rPr>
                <w:rFonts w:ascii="Times New Roman" w:hAnsi="Times New Roman" w:cs="Times New Roman"/>
              </w:rPr>
            </w:pPr>
          </w:p>
        </w:tc>
        <w:tc>
          <w:tcPr>
            <w:tcW w:w="2546"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360" w:lineRule="exact"/>
              <w:rPr>
                <w:rFonts w:ascii="Times New Roman" w:hAnsi="Times New Roman" w:cs="Times New Roman"/>
                <w:szCs w:val="21"/>
              </w:rPr>
            </w:pPr>
            <w:r>
              <w:rPr>
                <w:rFonts w:ascii="Times New Roman" w:hAnsi="Times New Roman" w:eastAsia="楷体" w:cs="Times New Roman"/>
                <w:kern w:val="0"/>
                <w:szCs w:val="18"/>
              </w:rPr>
              <w:t>2．没有现成信息需要另行制作</w:t>
            </w:r>
          </w:p>
        </w:tc>
        <w:tc>
          <w:tcPr>
            <w:tcW w:w="878"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35"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0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81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1031"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912"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81" w:hRule="exact"/>
          <w:jc w:val="center"/>
        </w:trPr>
        <w:tc>
          <w:tcPr>
            <w:tcW w:w="515" w:type="dxa"/>
            <w:vMerge w:val="continue"/>
            <w:tcBorders>
              <w:left w:val="single" w:color="auto" w:sz="8" w:space="0"/>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rPr>
                <w:rFonts w:ascii="Times New Roman" w:hAnsi="Times New Roman" w:cs="Times New Roman"/>
              </w:rPr>
            </w:pPr>
          </w:p>
        </w:tc>
        <w:tc>
          <w:tcPr>
            <w:tcW w:w="1107"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rPr>
                <w:rFonts w:ascii="Times New Roman" w:hAnsi="Times New Roman" w:cs="Times New Roman"/>
              </w:rPr>
            </w:pPr>
          </w:p>
        </w:tc>
        <w:tc>
          <w:tcPr>
            <w:tcW w:w="2546"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cs="Times New Roman"/>
                <w:szCs w:val="21"/>
              </w:rPr>
            </w:pPr>
            <w:r>
              <w:rPr>
                <w:rFonts w:ascii="Times New Roman" w:hAnsi="Times New Roman" w:eastAsia="楷体" w:cs="Times New Roman"/>
                <w:kern w:val="0"/>
                <w:szCs w:val="18"/>
              </w:rPr>
              <w:t>3．补正后申请内容仍不明确</w:t>
            </w:r>
          </w:p>
        </w:tc>
        <w:tc>
          <w:tcPr>
            <w:tcW w:w="878"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35"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0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81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1031"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912"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exact"/>
          <w:jc w:val="center"/>
        </w:trPr>
        <w:tc>
          <w:tcPr>
            <w:tcW w:w="515" w:type="dxa"/>
            <w:vMerge w:val="restart"/>
            <w:tcBorders>
              <w:top w:val="nil"/>
              <w:left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cs="Times New Roman"/>
              </w:rPr>
            </w:pPr>
            <w:r>
              <w:rPr>
                <w:rFonts w:ascii="Times New Roman" w:hAnsi="Times New Roman" w:eastAsia="宋体" w:cs="Times New Roman"/>
                <w:kern w:val="0"/>
                <w:szCs w:val="18"/>
              </w:rPr>
              <w:t>三、本年度办理结果</w:t>
            </w:r>
          </w:p>
        </w:tc>
        <w:tc>
          <w:tcPr>
            <w:tcW w:w="1107"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left"/>
              <w:rPr>
                <w:rFonts w:ascii="Times New Roman" w:hAnsi="Times New Roman" w:cs="Times New Roman"/>
                <w:szCs w:val="21"/>
              </w:rPr>
            </w:pPr>
            <w:r>
              <w:rPr>
                <w:rFonts w:ascii="Times New Roman" w:hAnsi="Times New Roman" w:eastAsia="楷体" w:cs="Times New Roman"/>
                <w:kern w:val="0"/>
                <w:szCs w:val="18"/>
              </w:rPr>
              <w:t>（五）不予处理</w:t>
            </w:r>
          </w:p>
        </w:tc>
        <w:tc>
          <w:tcPr>
            <w:tcW w:w="2546"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cs="Times New Roman"/>
                <w:szCs w:val="21"/>
              </w:rPr>
            </w:pPr>
            <w:r>
              <w:rPr>
                <w:rFonts w:ascii="Times New Roman" w:hAnsi="Times New Roman" w:eastAsia="楷体" w:cs="Times New Roman"/>
                <w:kern w:val="0"/>
                <w:szCs w:val="18"/>
              </w:rPr>
              <w:t>1．信访举报投诉类申请</w:t>
            </w:r>
          </w:p>
        </w:tc>
        <w:tc>
          <w:tcPr>
            <w:tcW w:w="878"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35"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0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81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1031"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912"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exact"/>
          <w:jc w:val="center"/>
        </w:trPr>
        <w:tc>
          <w:tcPr>
            <w:tcW w:w="515" w:type="dxa"/>
            <w:vMerge w:val="continue"/>
            <w:tcBorders>
              <w:left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cs="Times New Roman"/>
              </w:rPr>
            </w:pPr>
          </w:p>
        </w:tc>
        <w:tc>
          <w:tcPr>
            <w:tcW w:w="1107"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cs="Times New Roman"/>
              </w:rPr>
            </w:pPr>
          </w:p>
        </w:tc>
        <w:tc>
          <w:tcPr>
            <w:tcW w:w="2546"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cs="Times New Roman"/>
                <w:szCs w:val="21"/>
              </w:rPr>
            </w:pPr>
            <w:r>
              <w:rPr>
                <w:rFonts w:ascii="Times New Roman" w:hAnsi="Times New Roman" w:eastAsia="楷体" w:cs="Times New Roman"/>
                <w:kern w:val="0"/>
                <w:szCs w:val="18"/>
              </w:rPr>
              <w:t>2．重复申请</w:t>
            </w:r>
          </w:p>
        </w:tc>
        <w:tc>
          <w:tcPr>
            <w:tcW w:w="878"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35"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0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81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1031"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912"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exact"/>
          <w:jc w:val="center"/>
        </w:trPr>
        <w:tc>
          <w:tcPr>
            <w:tcW w:w="515" w:type="dxa"/>
            <w:vMerge w:val="continue"/>
            <w:tcBorders>
              <w:left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cs="Times New Roman"/>
              </w:rPr>
            </w:pPr>
          </w:p>
        </w:tc>
        <w:tc>
          <w:tcPr>
            <w:tcW w:w="1107"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cs="Times New Roman"/>
              </w:rPr>
            </w:pPr>
          </w:p>
        </w:tc>
        <w:tc>
          <w:tcPr>
            <w:tcW w:w="2546"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cs="Times New Roman"/>
                <w:szCs w:val="21"/>
              </w:rPr>
            </w:pPr>
            <w:r>
              <w:rPr>
                <w:rFonts w:ascii="Times New Roman" w:hAnsi="Times New Roman" w:eastAsia="楷体" w:cs="Times New Roman"/>
                <w:kern w:val="0"/>
                <w:szCs w:val="18"/>
              </w:rPr>
              <w:t>3．要求提供公开出版物</w:t>
            </w:r>
          </w:p>
        </w:tc>
        <w:tc>
          <w:tcPr>
            <w:tcW w:w="878"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35"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0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81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1031"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912"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9" w:hRule="exact"/>
          <w:jc w:val="center"/>
        </w:trPr>
        <w:tc>
          <w:tcPr>
            <w:tcW w:w="515" w:type="dxa"/>
            <w:vMerge w:val="continue"/>
            <w:tcBorders>
              <w:left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cs="Times New Roman"/>
              </w:rPr>
            </w:pPr>
          </w:p>
        </w:tc>
        <w:tc>
          <w:tcPr>
            <w:tcW w:w="1107"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cs="Times New Roman"/>
              </w:rPr>
            </w:pPr>
          </w:p>
        </w:tc>
        <w:tc>
          <w:tcPr>
            <w:tcW w:w="2546"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eastAsia="楷体" w:cs="Times New Roman"/>
                <w:kern w:val="0"/>
                <w:szCs w:val="18"/>
              </w:rPr>
            </w:pPr>
            <w:r>
              <w:rPr>
                <w:rFonts w:ascii="Times New Roman" w:hAnsi="Times New Roman" w:eastAsia="楷体" w:cs="Times New Roman"/>
                <w:kern w:val="0"/>
                <w:szCs w:val="18"/>
              </w:rPr>
              <w:t>4．无正当理由大量反复</w:t>
            </w:r>
          </w:p>
          <w:p>
            <w:pPr>
              <w:autoSpaceDE w:val="0"/>
              <w:autoSpaceDN w:val="0"/>
              <w:spacing w:line="400" w:lineRule="exact"/>
              <w:rPr>
                <w:rFonts w:ascii="Times New Roman" w:hAnsi="Times New Roman" w:cs="Times New Roman"/>
                <w:szCs w:val="21"/>
              </w:rPr>
            </w:pPr>
            <w:r>
              <w:rPr>
                <w:rFonts w:ascii="Times New Roman" w:hAnsi="Times New Roman" w:eastAsia="楷体" w:cs="Times New Roman"/>
                <w:kern w:val="0"/>
                <w:szCs w:val="18"/>
              </w:rPr>
              <w:t>申请</w:t>
            </w:r>
          </w:p>
        </w:tc>
        <w:tc>
          <w:tcPr>
            <w:tcW w:w="878"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35"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0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81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1031"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912"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69" w:hRule="exact"/>
          <w:jc w:val="center"/>
        </w:trPr>
        <w:tc>
          <w:tcPr>
            <w:tcW w:w="515" w:type="dxa"/>
            <w:vMerge w:val="continue"/>
            <w:tcBorders>
              <w:left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cs="Times New Roman"/>
              </w:rPr>
            </w:pPr>
          </w:p>
        </w:tc>
        <w:tc>
          <w:tcPr>
            <w:tcW w:w="1107"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cs="Times New Roman"/>
              </w:rPr>
            </w:pPr>
          </w:p>
        </w:tc>
        <w:tc>
          <w:tcPr>
            <w:tcW w:w="2546"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cs="Times New Roman"/>
                <w:szCs w:val="21"/>
              </w:rPr>
            </w:pPr>
            <w:r>
              <w:rPr>
                <w:rFonts w:ascii="Times New Roman" w:hAnsi="Times New Roman" w:eastAsia="楷体" w:cs="Times New Roman"/>
                <w:kern w:val="0"/>
                <w:szCs w:val="18"/>
              </w:rPr>
              <w:t>5．要求行政机关确认或重新出具已获取信息</w:t>
            </w:r>
          </w:p>
        </w:tc>
        <w:tc>
          <w:tcPr>
            <w:tcW w:w="878"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35"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0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81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1031"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912"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exact"/>
          <w:jc w:val="center"/>
        </w:trPr>
        <w:tc>
          <w:tcPr>
            <w:tcW w:w="515" w:type="dxa"/>
            <w:vMerge w:val="continue"/>
            <w:tcBorders>
              <w:left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cs="Times New Roman"/>
              </w:rPr>
            </w:pPr>
          </w:p>
        </w:tc>
        <w:tc>
          <w:tcPr>
            <w:tcW w:w="36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left"/>
              <w:rPr>
                <w:rFonts w:ascii="Times New Roman" w:hAnsi="Times New Roman" w:cs="Times New Roman"/>
                <w:szCs w:val="21"/>
              </w:rPr>
            </w:pPr>
            <w:r>
              <w:rPr>
                <w:rFonts w:ascii="Times New Roman" w:hAnsi="Times New Roman" w:eastAsia="楷体" w:cs="Times New Roman"/>
                <w:kern w:val="0"/>
                <w:szCs w:val="18"/>
              </w:rPr>
              <w:t>（六）其他处理</w:t>
            </w:r>
          </w:p>
        </w:tc>
        <w:tc>
          <w:tcPr>
            <w:tcW w:w="878"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35"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0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81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1031"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912"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kern w:val="0"/>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exact"/>
          <w:jc w:val="center"/>
        </w:trPr>
        <w:tc>
          <w:tcPr>
            <w:tcW w:w="515" w:type="dxa"/>
            <w:vMerge w:val="continue"/>
            <w:tcBorders>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400" w:lineRule="exact"/>
              <w:jc w:val="left"/>
              <w:rPr>
                <w:rFonts w:ascii="Times New Roman" w:hAnsi="Times New Roman" w:cs="Times New Roman"/>
              </w:rPr>
            </w:pPr>
          </w:p>
        </w:tc>
        <w:tc>
          <w:tcPr>
            <w:tcW w:w="3653"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400" w:lineRule="exact"/>
              <w:jc w:val="left"/>
              <w:rPr>
                <w:rFonts w:ascii="Times New Roman" w:hAnsi="Times New Roman" w:cs="Times New Roman"/>
                <w:szCs w:val="21"/>
              </w:rPr>
            </w:pPr>
            <w:r>
              <w:rPr>
                <w:rFonts w:ascii="Times New Roman" w:hAnsi="Times New Roman" w:eastAsia="楷体" w:cs="Times New Roman"/>
                <w:kern w:val="0"/>
                <w:szCs w:val="18"/>
              </w:rPr>
              <w:t>（七）总计</w:t>
            </w:r>
          </w:p>
        </w:tc>
        <w:tc>
          <w:tcPr>
            <w:tcW w:w="878"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35"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0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81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103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91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c>
          <w:tcPr>
            <w:tcW w:w="74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1"/>
              </w:rPr>
            </w:pPr>
            <w:r>
              <w:rPr>
                <w:rFonts w:ascii="Times New Roman" w:hAnsi="Times New Roman" w:cs="Times New Roman"/>
                <w:kern w:val="0"/>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exact"/>
          <w:jc w:val="center"/>
        </w:trPr>
        <w:tc>
          <w:tcPr>
            <w:tcW w:w="4168" w:type="dxa"/>
            <w:gridSpan w:val="3"/>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utoSpaceDE w:val="0"/>
              <w:autoSpaceDN w:val="0"/>
              <w:spacing w:line="600" w:lineRule="exact"/>
              <w:rPr>
                <w:rFonts w:ascii="Times New Roman" w:hAnsi="Times New Roman" w:cs="Times New Roman"/>
                <w:szCs w:val="20"/>
              </w:rPr>
            </w:pPr>
            <w:r>
              <w:rPr>
                <w:rFonts w:ascii="Times New Roman" w:hAnsi="Times New Roman" w:eastAsia="宋体" w:cs="Times New Roman"/>
                <w:kern w:val="0"/>
                <w:szCs w:val="16"/>
              </w:rPr>
              <w:t>四、结转下年度继续办理</w:t>
            </w:r>
          </w:p>
        </w:tc>
        <w:tc>
          <w:tcPr>
            <w:tcW w:w="878"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0"/>
              </w:rPr>
            </w:pPr>
            <w:r>
              <w:rPr>
                <w:rFonts w:ascii="Times New Roman" w:hAnsi="Times New Roman" w:cs="Times New Roman"/>
                <w:kern w:val="0"/>
                <w:szCs w:val="16"/>
              </w:rPr>
              <w:t> </w:t>
            </w:r>
          </w:p>
        </w:tc>
        <w:tc>
          <w:tcPr>
            <w:tcW w:w="735"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0"/>
              </w:rPr>
            </w:pPr>
            <w:r>
              <w:rPr>
                <w:rFonts w:ascii="Times New Roman" w:hAnsi="Times New Roman" w:cs="Times New Roman"/>
                <w:kern w:val="0"/>
                <w:szCs w:val="16"/>
              </w:rPr>
              <w:t> </w:t>
            </w:r>
          </w:p>
        </w:tc>
        <w:tc>
          <w:tcPr>
            <w:tcW w:w="70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0"/>
              </w:rPr>
            </w:pPr>
            <w:r>
              <w:rPr>
                <w:rFonts w:ascii="Times New Roman" w:hAnsi="Times New Roman" w:cs="Times New Roman"/>
                <w:kern w:val="0"/>
                <w:szCs w:val="16"/>
              </w:rPr>
              <w:t> </w:t>
            </w:r>
          </w:p>
        </w:tc>
        <w:tc>
          <w:tcPr>
            <w:tcW w:w="81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0"/>
              </w:rPr>
            </w:pPr>
            <w:r>
              <w:rPr>
                <w:rFonts w:ascii="Times New Roman" w:hAnsi="Times New Roman" w:cs="Times New Roman"/>
                <w:kern w:val="0"/>
                <w:szCs w:val="16"/>
              </w:rPr>
              <w:t> </w:t>
            </w:r>
          </w:p>
        </w:tc>
        <w:tc>
          <w:tcPr>
            <w:tcW w:w="103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0"/>
              </w:rPr>
            </w:pPr>
            <w:r>
              <w:rPr>
                <w:rFonts w:ascii="Times New Roman" w:hAnsi="Times New Roman" w:cs="Times New Roman"/>
                <w:kern w:val="0"/>
                <w:szCs w:val="16"/>
              </w:rPr>
              <w:t> </w:t>
            </w:r>
          </w:p>
        </w:tc>
        <w:tc>
          <w:tcPr>
            <w:tcW w:w="91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left"/>
              <w:rPr>
                <w:rFonts w:ascii="Times New Roman" w:hAnsi="Times New Roman" w:cs="Times New Roman"/>
                <w:szCs w:val="20"/>
              </w:rPr>
            </w:pPr>
            <w:r>
              <w:rPr>
                <w:rFonts w:ascii="Times New Roman" w:hAnsi="Times New Roman" w:cs="Times New Roman"/>
                <w:kern w:val="0"/>
                <w:szCs w:val="16"/>
              </w:rPr>
              <w:t> </w:t>
            </w:r>
          </w:p>
        </w:tc>
        <w:tc>
          <w:tcPr>
            <w:tcW w:w="74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autoSpaceDE w:val="0"/>
              <w:autoSpaceDN w:val="0"/>
              <w:spacing w:line="600" w:lineRule="exact"/>
              <w:jc w:val="center"/>
              <w:rPr>
                <w:rFonts w:ascii="Times New Roman" w:hAnsi="Times New Roman" w:cs="Times New Roman"/>
                <w:szCs w:val="21"/>
              </w:rPr>
            </w:pPr>
            <w:r>
              <w:rPr>
                <w:rFonts w:ascii="Times New Roman" w:hAnsi="Times New Roman" w:cs="Times New Roman"/>
                <w:szCs w:val="21"/>
              </w:rPr>
              <w:t>0</w:t>
            </w:r>
          </w:p>
        </w:tc>
      </w:tr>
    </w:tbl>
    <w:p>
      <w:pPr>
        <w:pStyle w:val="2"/>
        <w:keepNext w:val="0"/>
        <w:keepLines w:val="0"/>
        <w:autoSpaceDE w:val="0"/>
        <w:autoSpaceDN w:val="0"/>
        <w:spacing w:before="0" w:after="0" w:line="600" w:lineRule="exact"/>
        <w:rPr>
          <w:rFonts w:ascii="Times New Roman" w:hAnsi="Times New Roman" w:cs="Times New Roman"/>
        </w:rPr>
      </w:pPr>
    </w:p>
    <w:p>
      <w:pPr>
        <w:autoSpaceDE w:val="0"/>
        <w:autoSpaceDN w:val="0"/>
        <w:spacing w:line="600" w:lineRule="exact"/>
        <w:ind w:firstLine="640" w:firstLineChars="200"/>
        <w:rPr>
          <w:rFonts w:ascii="Times New Roman" w:hAnsi="Times New Roman" w:eastAsia="黑体" w:cs="Times New Roman"/>
          <w:sz w:val="32"/>
          <w:szCs w:val="32"/>
          <w:shd w:val="clear" w:color="auto" w:fill="FFFFFF"/>
        </w:rPr>
      </w:pPr>
      <w:r>
        <w:rPr>
          <w:rFonts w:ascii="Times New Roman" w:hAnsi="Times New Roman" w:eastAsia="黑体" w:cs="Times New Roman"/>
          <w:sz w:val="32"/>
          <w:szCs w:val="32"/>
          <w:shd w:val="clear" w:color="auto" w:fill="FFFFFF"/>
        </w:rPr>
        <w:t>四、政府信息公开行政复议、行政诉讼情况</w:t>
      </w:r>
    </w:p>
    <w:tbl>
      <w:tblPr>
        <w:tblStyle w:val="6"/>
        <w:tblW w:w="9872"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99"/>
        <w:gridCol w:w="648"/>
        <w:gridCol w:w="647"/>
        <w:gridCol w:w="646"/>
        <w:gridCol w:w="486"/>
        <w:gridCol w:w="809"/>
        <w:gridCol w:w="648"/>
        <w:gridCol w:w="649"/>
        <w:gridCol w:w="648"/>
        <w:gridCol w:w="648"/>
        <w:gridCol w:w="648"/>
        <w:gridCol w:w="648"/>
        <w:gridCol w:w="649"/>
        <w:gridCol w:w="649"/>
        <w:gridCol w:w="65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51" w:hRule="atLeast"/>
          <w:jc w:val="center"/>
        </w:trPr>
        <w:tc>
          <w:tcPr>
            <w:tcW w:w="3226"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rPr>
            </w:pPr>
            <w:r>
              <w:rPr>
                <w:rFonts w:ascii="Times New Roman" w:hAnsi="Times New Roman" w:eastAsia="黑体" w:cs="Times New Roman"/>
                <w:kern w:val="0"/>
                <w:szCs w:val="20"/>
              </w:rPr>
              <w:t>行政复议</w:t>
            </w:r>
          </w:p>
        </w:tc>
        <w:tc>
          <w:tcPr>
            <w:tcW w:w="6646"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rPr>
            </w:pPr>
            <w:r>
              <w:rPr>
                <w:rFonts w:ascii="Times New Roman" w:hAnsi="Times New Roman" w:eastAsia="黑体" w:cs="Times New Roman"/>
                <w:kern w:val="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51" w:hRule="atLeast"/>
          <w:jc w:val="center"/>
        </w:trPr>
        <w:tc>
          <w:tcPr>
            <w:tcW w:w="79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1"/>
              </w:rPr>
            </w:pPr>
            <w:r>
              <w:rPr>
                <w:rFonts w:ascii="Times New Roman" w:hAnsi="Times New Roman" w:eastAsia="黑体" w:cs="Times New Roman"/>
                <w:kern w:val="0"/>
                <w:szCs w:val="18"/>
              </w:rPr>
              <w:t>结果维持</w:t>
            </w:r>
          </w:p>
        </w:tc>
        <w:tc>
          <w:tcPr>
            <w:tcW w:w="64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1"/>
              </w:rPr>
            </w:pPr>
            <w:r>
              <w:rPr>
                <w:rFonts w:ascii="Times New Roman" w:hAnsi="Times New Roman" w:eastAsia="黑体" w:cs="Times New Roman"/>
                <w:kern w:val="0"/>
                <w:szCs w:val="18"/>
              </w:rPr>
              <w:t>结果纠正</w:t>
            </w:r>
          </w:p>
        </w:tc>
        <w:tc>
          <w:tcPr>
            <w:tcW w:w="647"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1"/>
              </w:rPr>
            </w:pPr>
            <w:r>
              <w:rPr>
                <w:rFonts w:ascii="Times New Roman" w:hAnsi="Times New Roman" w:eastAsia="黑体" w:cs="Times New Roman"/>
                <w:kern w:val="0"/>
                <w:szCs w:val="18"/>
              </w:rPr>
              <w:t>其他结果</w:t>
            </w:r>
          </w:p>
        </w:tc>
        <w:tc>
          <w:tcPr>
            <w:tcW w:w="646"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1"/>
              </w:rPr>
            </w:pPr>
            <w:r>
              <w:rPr>
                <w:rFonts w:ascii="Times New Roman" w:hAnsi="Times New Roman" w:eastAsia="黑体" w:cs="Times New Roman"/>
                <w:kern w:val="0"/>
                <w:szCs w:val="18"/>
              </w:rPr>
              <w:t>尚未审结</w:t>
            </w:r>
          </w:p>
        </w:tc>
        <w:tc>
          <w:tcPr>
            <w:tcW w:w="486"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1"/>
              </w:rPr>
            </w:pPr>
            <w:r>
              <w:rPr>
                <w:rFonts w:ascii="Times New Roman" w:hAnsi="Times New Roman" w:eastAsia="黑体" w:cs="Times New Roman"/>
                <w:kern w:val="0"/>
                <w:szCs w:val="18"/>
              </w:rPr>
              <w:t>总计</w:t>
            </w:r>
          </w:p>
        </w:tc>
        <w:tc>
          <w:tcPr>
            <w:tcW w:w="3402"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1"/>
              </w:rPr>
            </w:pPr>
            <w:r>
              <w:rPr>
                <w:rFonts w:ascii="Times New Roman" w:hAnsi="Times New Roman" w:eastAsia="黑体" w:cs="Times New Roman"/>
                <w:kern w:val="0"/>
                <w:szCs w:val="18"/>
              </w:rPr>
              <w:t>未经复议直接起诉</w:t>
            </w:r>
          </w:p>
        </w:tc>
        <w:tc>
          <w:tcPr>
            <w:tcW w:w="3244"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1"/>
              </w:rPr>
            </w:pPr>
            <w:r>
              <w:rPr>
                <w:rFonts w:ascii="Times New Roman" w:hAnsi="Times New Roman" w:eastAsia="黑体" w:cs="Times New Roman"/>
                <w:kern w:val="0"/>
                <w:szCs w:val="18"/>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176" w:hRule="atLeast"/>
          <w:jc w:val="center"/>
        </w:trPr>
        <w:tc>
          <w:tcPr>
            <w:tcW w:w="79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eastAsia="黑体" w:cs="Times New Roman"/>
              </w:rPr>
            </w:pPr>
          </w:p>
        </w:tc>
        <w:tc>
          <w:tcPr>
            <w:tcW w:w="64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eastAsia="黑体" w:cs="Times New Roman"/>
              </w:rPr>
            </w:pPr>
          </w:p>
        </w:tc>
        <w:tc>
          <w:tcPr>
            <w:tcW w:w="647"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eastAsia="黑体" w:cs="Times New Roman"/>
              </w:rPr>
            </w:pPr>
          </w:p>
        </w:tc>
        <w:tc>
          <w:tcPr>
            <w:tcW w:w="646"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eastAsia="黑体" w:cs="Times New Roman"/>
              </w:rPr>
            </w:pPr>
          </w:p>
        </w:tc>
        <w:tc>
          <w:tcPr>
            <w:tcW w:w="486"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rPr>
                <w:rFonts w:ascii="Times New Roman" w:hAnsi="Times New Roman" w:eastAsia="黑体" w:cs="Times New Roman"/>
              </w:rPr>
            </w:pPr>
          </w:p>
        </w:tc>
        <w:tc>
          <w:tcPr>
            <w:tcW w:w="809"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1"/>
              </w:rPr>
            </w:pPr>
            <w:r>
              <w:rPr>
                <w:rFonts w:ascii="Times New Roman" w:hAnsi="Times New Roman" w:eastAsia="黑体" w:cs="Times New Roman"/>
                <w:kern w:val="0"/>
                <w:szCs w:val="18"/>
              </w:rPr>
              <w:t>结果维持</w:t>
            </w:r>
          </w:p>
        </w:tc>
        <w:tc>
          <w:tcPr>
            <w:tcW w:w="648"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1"/>
              </w:rPr>
            </w:pPr>
            <w:r>
              <w:rPr>
                <w:rFonts w:ascii="Times New Roman" w:hAnsi="Times New Roman" w:eastAsia="黑体" w:cs="Times New Roman"/>
                <w:kern w:val="0"/>
                <w:szCs w:val="18"/>
              </w:rPr>
              <w:t>结果纠正</w:t>
            </w:r>
          </w:p>
        </w:tc>
        <w:tc>
          <w:tcPr>
            <w:tcW w:w="649"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1"/>
              </w:rPr>
            </w:pPr>
            <w:r>
              <w:rPr>
                <w:rFonts w:ascii="Times New Roman" w:hAnsi="Times New Roman" w:eastAsia="黑体" w:cs="Times New Roman"/>
                <w:kern w:val="0"/>
                <w:szCs w:val="18"/>
              </w:rPr>
              <w:t>其他结果</w:t>
            </w:r>
          </w:p>
        </w:tc>
        <w:tc>
          <w:tcPr>
            <w:tcW w:w="64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1"/>
              </w:rPr>
            </w:pPr>
            <w:r>
              <w:rPr>
                <w:rFonts w:ascii="Times New Roman" w:hAnsi="Times New Roman" w:eastAsia="黑体" w:cs="Times New Roman"/>
                <w:kern w:val="0"/>
                <w:szCs w:val="18"/>
              </w:rPr>
              <w:t>尚未审结</w:t>
            </w:r>
          </w:p>
        </w:tc>
        <w:tc>
          <w:tcPr>
            <w:tcW w:w="64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1"/>
              </w:rPr>
            </w:pPr>
            <w:r>
              <w:rPr>
                <w:rFonts w:ascii="Times New Roman" w:hAnsi="Times New Roman" w:eastAsia="黑体" w:cs="Times New Roman"/>
                <w:color w:val="000000"/>
                <w:kern w:val="0"/>
                <w:szCs w:val="18"/>
              </w:rPr>
              <w:t>总计</w:t>
            </w:r>
          </w:p>
        </w:tc>
        <w:tc>
          <w:tcPr>
            <w:tcW w:w="64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1"/>
              </w:rPr>
            </w:pPr>
            <w:r>
              <w:rPr>
                <w:rFonts w:ascii="Times New Roman" w:hAnsi="Times New Roman" w:eastAsia="黑体" w:cs="Times New Roman"/>
                <w:kern w:val="0"/>
                <w:szCs w:val="18"/>
              </w:rPr>
              <w:t>结果维持</w:t>
            </w:r>
          </w:p>
        </w:tc>
        <w:tc>
          <w:tcPr>
            <w:tcW w:w="64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1"/>
              </w:rPr>
            </w:pPr>
            <w:r>
              <w:rPr>
                <w:rFonts w:ascii="Times New Roman" w:hAnsi="Times New Roman" w:eastAsia="黑体" w:cs="Times New Roman"/>
                <w:kern w:val="0"/>
                <w:szCs w:val="18"/>
              </w:rPr>
              <w:t>结果纠正</w:t>
            </w:r>
          </w:p>
        </w:tc>
        <w:tc>
          <w:tcPr>
            <w:tcW w:w="649"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1"/>
              </w:rPr>
            </w:pPr>
            <w:r>
              <w:rPr>
                <w:rFonts w:ascii="Times New Roman" w:hAnsi="Times New Roman" w:eastAsia="黑体" w:cs="Times New Roman"/>
                <w:color w:val="000000"/>
                <w:kern w:val="0"/>
                <w:szCs w:val="18"/>
              </w:rPr>
              <w:t>其他结果</w:t>
            </w:r>
          </w:p>
        </w:tc>
        <w:tc>
          <w:tcPr>
            <w:tcW w:w="649"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1"/>
              </w:rPr>
            </w:pPr>
            <w:r>
              <w:rPr>
                <w:rFonts w:ascii="Times New Roman" w:hAnsi="Times New Roman" w:eastAsia="黑体" w:cs="Times New Roman"/>
                <w:kern w:val="0"/>
                <w:szCs w:val="18"/>
              </w:rPr>
              <w:t>尚未审结</w:t>
            </w:r>
          </w:p>
        </w:tc>
        <w:tc>
          <w:tcPr>
            <w:tcW w:w="65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eastAsia="黑体" w:cs="Times New Roman"/>
                <w:szCs w:val="21"/>
              </w:rPr>
            </w:pPr>
            <w:r>
              <w:rPr>
                <w:rFonts w:ascii="Times New Roman" w:hAnsi="Times New Roman" w:eastAsia="黑体" w:cs="Times New Roman"/>
                <w:color w:val="000000"/>
                <w:kern w:val="0"/>
                <w:szCs w:val="18"/>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92" w:hRule="atLeast"/>
          <w:jc w:val="center"/>
        </w:trPr>
        <w:tc>
          <w:tcPr>
            <w:tcW w:w="79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cs="Times New Roman"/>
              </w:rPr>
            </w:pPr>
          </w:p>
        </w:tc>
        <w:tc>
          <w:tcPr>
            <w:tcW w:w="648"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cs="Times New Roman"/>
              </w:rPr>
            </w:pPr>
          </w:p>
        </w:tc>
        <w:tc>
          <w:tcPr>
            <w:tcW w:w="647"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cs="Times New Roman"/>
              </w:rPr>
            </w:pPr>
          </w:p>
        </w:tc>
        <w:tc>
          <w:tcPr>
            <w:tcW w:w="646"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cs="Times New Roman"/>
              </w:rPr>
            </w:pPr>
          </w:p>
        </w:tc>
        <w:tc>
          <w:tcPr>
            <w:tcW w:w="486"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cs="Times New Roman"/>
              </w:rPr>
            </w:pPr>
            <w:r>
              <w:rPr>
                <w:rFonts w:ascii="Times New Roman" w:hAnsi="Times New Roman" w:cs="Times New Roman"/>
                <w:kern w:val="0"/>
                <w:sz w:val="20"/>
                <w:szCs w:val="20"/>
              </w:rPr>
              <w:t>0</w:t>
            </w:r>
          </w:p>
        </w:tc>
        <w:tc>
          <w:tcPr>
            <w:tcW w:w="809"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cs="Times New Roman"/>
              </w:rPr>
            </w:pPr>
          </w:p>
        </w:tc>
        <w:tc>
          <w:tcPr>
            <w:tcW w:w="648"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cs="Times New Roman"/>
              </w:rPr>
            </w:pP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cs="Times New Roman"/>
              </w:rPr>
            </w:pPr>
          </w:p>
        </w:tc>
        <w:tc>
          <w:tcPr>
            <w:tcW w:w="648"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cs="Times New Roman"/>
              </w:rPr>
            </w:pPr>
          </w:p>
        </w:tc>
        <w:tc>
          <w:tcPr>
            <w:tcW w:w="648"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cs="Times New Roman"/>
              </w:rPr>
            </w:pPr>
            <w:r>
              <w:rPr>
                <w:rFonts w:ascii="Times New Roman" w:hAnsi="Times New Roman" w:cs="Times New Roman"/>
              </w:rPr>
              <w:t>0</w:t>
            </w:r>
          </w:p>
        </w:tc>
        <w:tc>
          <w:tcPr>
            <w:tcW w:w="648"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cs="Times New Roman"/>
              </w:rPr>
            </w:pPr>
          </w:p>
        </w:tc>
        <w:tc>
          <w:tcPr>
            <w:tcW w:w="648"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cs="Times New Roman"/>
              </w:rPr>
            </w:pP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cs="Times New Roman"/>
              </w:rPr>
            </w:pP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cs="Times New Roman"/>
              </w:rPr>
            </w:pPr>
          </w:p>
        </w:tc>
        <w:tc>
          <w:tcPr>
            <w:tcW w:w="650" w:type="dxa"/>
            <w:tcBorders>
              <w:top w:val="nil"/>
              <w:left w:val="nil"/>
              <w:bottom w:val="single" w:color="auto" w:sz="8" w:space="0"/>
              <w:right w:val="single" w:color="auto" w:sz="8" w:space="0"/>
            </w:tcBorders>
            <w:shd w:val="clear" w:color="auto" w:fill="auto"/>
            <w:tcMar>
              <w:left w:w="108" w:type="dxa"/>
              <w:right w:w="108" w:type="dxa"/>
            </w:tcMar>
            <w:vAlign w:val="center"/>
          </w:tcPr>
          <w:p>
            <w:pPr>
              <w:autoSpaceDE w:val="0"/>
              <w:autoSpaceDN w:val="0"/>
              <w:spacing w:line="400" w:lineRule="exact"/>
              <w:jc w:val="center"/>
              <w:rPr>
                <w:rFonts w:ascii="Times New Roman" w:hAnsi="Times New Roman" w:cs="Times New Roman"/>
                <w:sz w:val="24"/>
              </w:rPr>
            </w:pPr>
            <w:r>
              <w:rPr>
                <w:rFonts w:ascii="Times New Roman" w:hAnsi="Times New Roman" w:cs="Times New Roman"/>
                <w:sz w:val="24"/>
              </w:rPr>
              <w:t>0</w:t>
            </w:r>
          </w:p>
        </w:tc>
      </w:tr>
    </w:tbl>
    <w:p>
      <w:pPr>
        <w:autoSpaceDE w:val="0"/>
        <w:autoSpaceDN w:val="0"/>
        <w:spacing w:line="600" w:lineRule="exact"/>
        <w:rPr>
          <w:rStyle w:val="8"/>
          <w:rFonts w:ascii="Times New Roman" w:hAnsi="Times New Roman" w:eastAsia="仿宋_GB2312" w:cs="Times New Roman"/>
          <w:color w:val="auto"/>
          <w:sz w:val="32"/>
          <w:szCs w:val="32"/>
          <w:u w:val="none"/>
          <w:shd w:val="clear" w:color="auto" w:fill="FFFFFF"/>
        </w:rPr>
      </w:pPr>
    </w:p>
    <w:p>
      <w:pPr>
        <w:autoSpaceDE w:val="0"/>
        <w:autoSpaceDN w:val="0"/>
        <w:spacing w:line="600" w:lineRule="exact"/>
        <w:ind w:firstLine="640" w:firstLineChars="200"/>
        <w:rPr>
          <w:rFonts w:ascii="Times New Roman" w:hAnsi="Times New Roman" w:eastAsia="黑体" w:cs="Times New Roman"/>
          <w:sz w:val="32"/>
          <w:szCs w:val="32"/>
          <w:shd w:val="clear" w:color="auto" w:fill="FFFFFF"/>
        </w:rPr>
      </w:pPr>
      <w:r>
        <w:rPr>
          <w:rFonts w:ascii="Times New Roman" w:hAnsi="Times New Roman" w:eastAsia="黑体" w:cs="Times New Roman"/>
          <w:sz w:val="32"/>
          <w:szCs w:val="32"/>
          <w:shd w:val="clear" w:color="auto" w:fill="FFFFFF"/>
        </w:rPr>
        <w:t>五、存在的问题和改进情况</w:t>
      </w:r>
    </w:p>
    <w:p>
      <w:pPr>
        <w:autoSpaceDE w:val="0"/>
        <w:autoSpaceDN w:val="0"/>
        <w:spacing w:line="600" w:lineRule="exact"/>
        <w:ind w:firstLine="640" w:firstLineChars="20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针对主动公开效率有待提升、政务公开平台建设有待加强问题，通过完善公开机制，加强平台建设，规范工作流程，提升能力素质，进一步提升了信息公开时效和质量，有效保障了群众的知情权、参与权、表达权、监督权。</w:t>
      </w:r>
    </w:p>
    <w:p>
      <w:pPr>
        <w:numPr>
          <w:ilvl w:val="0"/>
          <w:numId w:val="1"/>
        </w:numPr>
        <w:autoSpaceDE w:val="0"/>
        <w:autoSpaceDN w:val="0"/>
        <w:spacing w:line="600" w:lineRule="exact"/>
        <w:ind w:firstLine="640" w:firstLineChars="200"/>
        <w:rPr>
          <w:rFonts w:ascii="Times New Roman" w:hAnsi="Times New Roman" w:eastAsia="黑体" w:cs="Times New Roman"/>
          <w:sz w:val="32"/>
          <w:szCs w:val="32"/>
          <w:shd w:val="clear" w:color="auto" w:fill="FFFFFF"/>
        </w:rPr>
      </w:pPr>
      <w:r>
        <w:rPr>
          <w:rFonts w:ascii="Times New Roman" w:hAnsi="Times New Roman" w:eastAsia="黑体" w:cs="Times New Roman"/>
          <w:sz w:val="32"/>
          <w:szCs w:val="32"/>
          <w:shd w:val="clear" w:color="auto" w:fill="FFFFFF"/>
        </w:rPr>
        <w:t>其他需要报告的事项</w:t>
      </w:r>
    </w:p>
    <w:p>
      <w:pPr>
        <w:pStyle w:val="2"/>
        <w:keepNext w:val="0"/>
        <w:keepLines w:val="0"/>
        <w:autoSpaceDE w:val="0"/>
        <w:autoSpaceDN w:val="0"/>
        <w:spacing w:before="0" w:after="0" w:line="600" w:lineRule="exact"/>
        <w:ind w:firstLine="640" w:firstLineChars="200"/>
        <w:rPr>
          <w:rFonts w:ascii="Times New Roman" w:hAnsi="Times New Roman" w:eastAsia="仿宋_GB2312" w:cs="Times New Roman"/>
          <w:b w:val="0"/>
          <w:bCs w:val="0"/>
          <w:shd w:val="clear" w:color="auto" w:fill="FFFFFF"/>
        </w:rPr>
      </w:pPr>
      <w:r>
        <w:rPr>
          <w:rFonts w:ascii="Times New Roman" w:hAnsi="Times New Roman" w:eastAsia="仿宋_GB2312" w:cs="Times New Roman"/>
          <w:b w:val="0"/>
          <w:bCs w:val="0"/>
          <w:shd w:val="clear" w:color="auto" w:fill="FFFFFF"/>
        </w:rPr>
        <w:t>无此类事项。</w:t>
      </w:r>
    </w:p>
    <w:p>
      <w:pPr>
        <w:autoSpaceDE w:val="0"/>
        <w:autoSpaceDN w:val="0"/>
        <w:spacing w:line="600" w:lineRule="exact"/>
        <w:rPr>
          <w:rFonts w:ascii="Times New Roman" w:hAnsi="Times New Roman" w:eastAsia="仿宋_GB2312" w:cs="Times New Roman"/>
          <w:sz w:val="32"/>
          <w:szCs w:val="32"/>
          <w:shd w:val="clear" w:color="auto" w:fill="FFFFFF"/>
        </w:rPr>
      </w:pPr>
    </w:p>
    <w:p>
      <w:pPr>
        <w:autoSpaceDE w:val="0"/>
        <w:autoSpaceDN w:val="0"/>
        <w:spacing w:line="600" w:lineRule="exact"/>
        <w:rPr>
          <w:rFonts w:ascii="Times New Roman" w:hAnsi="Times New Roman" w:eastAsia="仿宋_GB2312" w:cs="Times New Roman"/>
          <w:sz w:val="32"/>
          <w:szCs w:val="32"/>
          <w:shd w:val="clear" w:color="auto" w:fill="FFFFFF"/>
        </w:rPr>
      </w:pPr>
      <w:bookmarkStart w:id="0" w:name="_GoBack"/>
      <w:bookmarkEnd w:id="0"/>
    </w:p>
    <w:p>
      <w:pPr>
        <w:autoSpaceDE w:val="0"/>
        <w:autoSpaceDN w:val="0"/>
        <w:spacing w:line="600" w:lineRule="exact"/>
        <w:ind w:firstLine="640" w:firstLineChars="200"/>
        <w:jc w:val="right"/>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赣州市人力资源和社会保障局</w:t>
      </w:r>
    </w:p>
    <w:p>
      <w:pPr>
        <w:autoSpaceDE w:val="0"/>
        <w:autoSpaceDN w:val="0"/>
        <w:spacing w:line="600" w:lineRule="exact"/>
        <w:ind w:firstLine="640" w:firstLineChars="200"/>
        <w:jc w:val="center"/>
        <w:rPr>
          <w:rFonts w:hint="default" w:ascii="Times New Roman" w:hAnsi="Times New Roman" w:eastAsia="仿宋_GB2312" w:cs="Times New Roman"/>
          <w:sz w:val="32"/>
          <w:szCs w:val="32"/>
          <w:shd w:val="clear" w:color="auto" w:fill="FFFFFF"/>
          <w:lang w:val="en-US" w:eastAsia="zh-CN"/>
        </w:rPr>
      </w:pPr>
      <w:r>
        <w:rPr>
          <w:rFonts w:hint="eastAsia" w:ascii="Times New Roman" w:hAnsi="Times New Roman" w:eastAsia="仿宋_GB2312" w:cs="Times New Roman"/>
          <w:sz w:val="32"/>
          <w:szCs w:val="32"/>
          <w:shd w:val="clear" w:color="auto" w:fill="FFFFFF"/>
          <w:lang w:val="en-US" w:eastAsia="zh-CN"/>
        </w:rPr>
        <w:t xml:space="preserve">                        2021年1月29日</w:t>
      </w:r>
    </w:p>
    <w:sectPr>
      <w:footerReference r:id="rId3" w:type="default"/>
      <w:footerReference r:id="rId4" w:type="even"/>
      <w:pgSz w:w="11906" w:h="16838"/>
      <w:pgMar w:top="2098" w:right="1588" w:bottom="2098" w:left="1588" w:header="851" w:footer="158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66967532"/>
      <w:docPartObj>
        <w:docPartGallery w:val="AutoText"/>
      </w:docPartObj>
    </w:sdtPr>
    <w:sdtContent>
      <w:p>
        <w:pPr>
          <w:pStyle w:val="3"/>
          <w:jc w:val="right"/>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7</w:t>
        </w:r>
        <w:r>
          <w:rPr>
            <w:rFonts w:ascii="宋体" w:hAnsi="宋体" w:eastAsia="宋体"/>
            <w:sz w:val="28"/>
            <w:szCs w:val="28"/>
          </w:rPr>
          <w:fldChar w:fldCharType="end"/>
        </w:r>
        <w:r>
          <w:rPr>
            <w:rFonts w:hint="eastAsia" w:ascii="宋体" w:hAnsi="宋体" w:eastAsia="宋体"/>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79287033"/>
      <w:docPartObj>
        <w:docPartGallery w:val="AutoText"/>
      </w:docPartObj>
    </w:sdtPr>
    <w:sdtContent>
      <w:p>
        <w:pPr>
          <w:pStyle w:val="3"/>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6</w:t>
        </w:r>
        <w:r>
          <w:rPr>
            <w:rFonts w:ascii="宋体" w:hAnsi="宋体" w:eastAsia="宋体"/>
            <w:sz w:val="28"/>
            <w:szCs w:val="28"/>
          </w:rPr>
          <w:fldChar w:fldCharType="end"/>
        </w:r>
        <w:r>
          <w:rPr>
            <w:rFonts w:hint="eastAsia" w:ascii="宋体" w:hAnsi="宋体" w:eastAsia="宋体"/>
            <w:sz w:val="28"/>
            <w:szCs w:val="28"/>
          </w:rPr>
          <w:t xml:space="preserve"> —</w:t>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07FDEC"/>
    <w:multiLevelType w:val="singleLevel"/>
    <w:tmpl w:val="BC07FDEC"/>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5222AB"/>
    <w:rsid w:val="003410EB"/>
    <w:rsid w:val="00537385"/>
    <w:rsid w:val="00CE3801"/>
    <w:rsid w:val="17FC5B41"/>
    <w:rsid w:val="24855196"/>
    <w:rsid w:val="258068F2"/>
    <w:rsid w:val="2D6374B6"/>
    <w:rsid w:val="337E022C"/>
    <w:rsid w:val="4C5222AB"/>
    <w:rsid w:val="513B4F4B"/>
    <w:rsid w:val="74A470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footer"/>
    <w:basedOn w:val="1"/>
    <w:link w:val="10"/>
    <w:uiPriority w:val="99"/>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Hyperlink"/>
    <w:basedOn w:val="7"/>
    <w:qFormat/>
    <w:uiPriority w:val="0"/>
    <w:rPr>
      <w:color w:val="0000FF"/>
      <w:u w:val="single"/>
    </w:rPr>
  </w:style>
  <w:style w:type="character" w:customStyle="1" w:styleId="9">
    <w:name w:val="页眉 Char"/>
    <w:basedOn w:val="7"/>
    <w:link w:val="4"/>
    <w:qFormat/>
    <w:uiPriority w:val="0"/>
    <w:rPr>
      <w:rFonts w:asciiTheme="minorHAnsi" w:hAnsiTheme="minorHAnsi" w:eastAsiaTheme="minorEastAsia" w:cstheme="minorBidi"/>
      <w:kern w:val="2"/>
      <w:sz w:val="18"/>
      <w:szCs w:val="18"/>
    </w:rPr>
  </w:style>
  <w:style w:type="character" w:customStyle="1" w:styleId="10">
    <w:name w:val="页脚 Char"/>
    <w:basedOn w:val="7"/>
    <w:link w:val="3"/>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市直单位</Company>
  <Pages>7</Pages>
  <Words>431</Words>
  <Characters>2458</Characters>
  <Lines>20</Lines>
  <Paragraphs>5</Paragraphs>
  <TotalTime>97</TotalTime>
  <ScaleCrop>false</ScaleCrop>
  <LinksUpToDate>false</LinksUpToDate>
  <CharactersWithSpaces>2884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2021-01-27T06:48:00Z</dcterms:created>
  <dc:creator>00</dc:creator>
  <cp:lastModifiedBy>00</cp:lastModifiedBy>
  <cp:lastPrinted>2021-01-29T09:34:33Z</cp:lastPrinted>
  <dcterms:modified xsi:type="dcterms:W3CDTF">2021-01-29T09:49:21Z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