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77C665">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仿宋_GB2312"/>
          <w:b w:val="0"/>
          <w:bCs w:val="0"/>
          <w:sz w:val="30"/>
          <w:szCs w:val="30"/>
        </w:rPr>
      </w:pPr>
      <w:bookmarkStart w:id="0" w:name="_GoBack"/>
      <w:bookmarkEnd w:id="0"/>
    </w:p>
    <w:p w14:paraId="36B18FB3">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仿宋_GB2312"/>
          <w:b w:val="0"/>
          <w:bCs w:val="0"/>
          <w:sz w:val="30"/>
          <w:szCs w:val="30"/>
        </w:rPr>
      </w:pPr>
    </w:p>
    <w:p w14:paraId="496D37B7">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仿宋_GB2312"/>
          <w:b w:val="0"/>
          <w:bCs w:val="0"/>
          <w:sz w:val="30"/>
          <w:szCs w:val="30"/>
        </w:rPr>
      </w:pPr>
    </w:p>
    <w:p w14:paraId="71FFABAC">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仿宋_GB2312"/>
          <w:b w:val="0"/>
          <w:bCs w:val="0"/>
          <w:sz w:val="30"/>
          <w:szCs w:val="30"/>
        </w:rPr>
      </w:pPr>
    </w:p>
    <w:p w14:paraId="43AD1476">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仿宋_GB2312"/>
          <w:b w:val="0"/>
          <w:bCs w:val="0"/>
          <w:sz w:val="30"/>
          <w:szCs w:val="30"/>
        </w:rPr>
      </w:pPr>
    </w:p>
    <w:p w14:paraId="3AE315F6">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仿宋_GB2312"/>
          <w:b w:val="0"/>
          <w:bCs w:val="0"/>
          <w:sz w:val="30"/>
          <w:szCs w:val="30"/>
        </w:rPr>
      </w:pPr>
    </w:p>
    <w:p w14:paraId="4136078B">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仿宋_GB2312"/>
          <w:b w:val="0"/>
          <w:bCs w:val="0"/>
          <w:sz w:val="30"/>
          <w:szCs w:val="30"/>
        </w:rPr>
      </w:pPr>
    </w:p>
    <w:p w14:paraId="05DAA23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仿宋_GB2312"/>
          <w:b w:val="0"/>
          <w:bCs w:val="0"/>
          <w:sz w:val="32"/>
          <w:szCs w:val="32"/>
        </w:rPr>
      </w:pPr>
      <w:r>
        <w:rPr>
          <w:rFonts w:hint="eastAsia" w:ascii="宋体" w:hAnsi="宋体" w:eastAsia="仿宋_GB2312"/>
          <w:b w:val="0"/>
          <w:bCs w:val="0"/>
          <w:sz w:val="32"/>
          <w:szCs w:val="32"/>
        </w:rPr>
        <w:t>赣市府办</w:t>
      </w:r>
      <w:r>
        <w:rPr>
          <w:rFonts w:hint="eastAsia" w:ascii="宋体" w:hAnsi="宋体" w:eastAsia="仿宋_GB2312"/>
          <w:b w:val="0"/>
          <w:bCs w:val="0"/>
          <w:sz w:val="32"/>
          <w:szCs w:val="32"/>
          <w:lang w:eastAsia="zh-CN"/>
        </w:rPr>
        <w:t>字</w:t>
      </w:r>
      <w:r>
        <w:rPr>
          <w:rFonts w:hint="eastAsia" w:ascii="宋体" w:hAnsi="宋体" w:eastAsia="仿宋_GB2312"/>
          <w:b w:val="0"/>
          <w:bCs w:val="0"/>
          <w:sz w:val="32"/>
          <w:szCs w:val="32"/>
        </w:rPr>
        <w:t>〔202</w:t>
      </w:r>
      <w:r>
        <w:rPr>
          <w:rFonts w:hint="default" w:ascii="宋体" w:hAnsi="宋体" w:eastAsia="仿宋_GB2312"/>
          <w:b w:val="0"/>
          <w:bCs w:val="0"/>
          <w:sz w:val="32"/>
          <w:szCs w:val="32"/>
          <w:lang w:val="en" w:eastAsia="zh-CN"/>
        </w:rPr>
        <w:t>5</w:t>
      </w:r>
      <w:r>
        <w:rPr>
          <w:rFonts w:hint="eastAsia" w:ascii="宋体" w:hAnsi="宋体" w:eastAsia="仿宋_GB2312"/>
          <w:b w:val="0"/>
          <w:bCs w:val="0"/>
          <w:sz w:val="32"/>
          <w:szCs w:val="32"/>
        </w:rPr>
        <w:t>〕</w:t>
      </w:r>
      <w:r>
        <w:rPr>
          <w:rFonts w:hint="default" w:ascii="宋体" w:hAnsi="宋体" w:eastAsia="仿宋_GB2312"/>
          <w:b w:val="0"/>
          <w:bCs w:val="0"/>
          <w:sz w:val="32"/>
          <w:szCs w:val="32"/>
          <w:lang w:val="en" w:eastAsia="zh-CN"/>
        </w:rPr>
        <w:t>27</w:t>
      </w:r>
      <w:r>
        <w:rPr>
          <w:rFonts w:hint="eastAsia" w:ascii="宋体" w:hAnsi="宋体" w:eastAsia="仿宋_GB2312"/>
          <w:b w:val="0"/>
          <w:bCs w:val="0"/>
          <w:sz w:val="32"/>
          <w:szCs w:val="32"/>
        </w:rPr>
        <w:t>号</w:t>
      </w:r>
    </w:p>
    <w:p w14:paraId="72CF349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仿宋_GB2312"/>
          <w:b w:val="0"/>
          <w:bCs w:val="0"/>
          <w:sz w:val="32"/>
          <w:szCs w:val="32"/>
        </w:rPr>
      </w:pPr>
    </w:p>
    <w:p w14:paraId="2E33365A">
      <w:pPr>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1"/>
        <w:rPr>
          <w:rFonts w:hint="eastAsia" w:ascii="宋体" w:hAnsi="宋体" w:eastAsia="华文中宋" w:cs="Arial"/>
          <w:b w:val="0"/>
          <w:bCs w:val="0"/>
          <w:kern w:val="36"/>
          <w:sz w:val="36"/>
          <w:szCs w:val="36"/>
        </w:rPr>
      </w:pPr>
    </w:p>
    <w:p w14:paraId="67F89A0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方正小标宋简体" w:cs="方正小标宋简体"/>
          <w:b w:val="0"/>
          <w:bCs/>
          <w:color w:val="000000"/>
          <w:sz w:val="44"/>
          <w:szCs w:val="44"/>
          <w:lang w:val="en-US" w:eastAsia="zh-CN"/>
        </w:rPr>
      </w:pPr>
      <w:r>
        <w:rPr>
          <w:rFonts w:hint="eastAsia" w:ascii="宋体" w:hAnsi="宋体" w:eastAsia="方正小标宋简体" w:cs="方正小标宋简体"/>
          <w:b w:val="0"/>
          <w:bCs/>
          <w:color w:val="000000"/>
          <w:sz w:val="44"/>
          <w:szCs w:val="44"/>
          <w:lang w:val="en-US" w:eastAsia="zh-CN"/>
        </w:rPr>
        <w:t>赣州市人民政府办公室</w:t>
      </w:r>
    </w:p>
    <w:p w14:paraId="4FFFE222">
      <w:pPr>
        <w:keepNext w:val="0"/>
        <w:keepLines w:val="0"/>
        <w:pageBreakBefore w:val="0"/>
        <w:widowControl w:val="0"/>
        <w:kinsoku/>
        <w:wordWrap/>
        <w:overflowPunct/>
        <w:topLinePunct w:val="0"/>
        <w:autoSpaceDE/>
        <w:autoSpaceDN/>
        <w:bidi w:val="0"/>
        <w:adjustRightInd/>
        <w:snapToGrid/>
        <w:spacing w:beforeLines="0" w:afterLines="0" w:line="560" w:lineRule="exact"/>
        <w:jc w:val="center"/>
        <w:textAlignment w:val="auto"/>
        <w:rPr>
          <w:rFonts w:hint="eastAsia" w:ascii="宋体" w:hAnsi="宋体" w:eastAsia="方正小标宋简体" w:cs="方正小标宋简体"/>
          <w:b w:val="0"/>
          <w:bCs/>
          <w:color w:val="000000"/>
          <w:sz w:val="44"/>
          <w:szCs w:val="44"/>
          <w:lang w:val="en-US" w:eastAsia="zh-CN"/>
        </w:rPr>
      </w:pPr>
      <w:r>
        <w:rPr>
          <w:rFonts w:hint="eastAsia" w:ascii="宋体" w:hAnsi="宋体" w:eastAsia="方正小标宋简体" w:cs="方正小标宋简体"/>
          <w:b w:val="0"/>
          <w:bCs/>
          <w:color w:val="000000"/>
          <w:sz w:val="44"/>
          <w:szCs w:val="44"/>
          <w:lang w:val="en-US" w:eastAsia="zh-CN"/>
        </w:rPr>
        <w:t>关于印发赣州市深入实施公平竞争</w:t>
      </w:r>
    </w:p>
    <w:p w14:paraId="03EE7F21">
      <w:pPr>
        <w:keepNext w:val="0"/>
        <w:keepLines w:val="0"/>
        <w:pageBreakBefore w:val="0"/>
        <w:widowControl w:val="0"/>
        <w:kinsoku/>
        <w:wordWrap/>
        <w:overflowPunct/>
        <w:topLinePunct w:val="0"/>
        <w:autoSpaceDE/>
        <w:autoSpaceDN/>
        <w:bidi w:val="0"/>
        <w:adjustRightInd/>
        <w:snapToGrid/>
        <w:spacing w:beforeLines="0" w:afterLines="0" w:line="560" w:lineRule="exact"/>
        <w:jc w:val="center"/>
        <w:textAlignment w:val="auto"/>
        <w:rPr>
          <w:rFonts w:hint="eastAsia" w:ascii="宋体" w:hAnsi="宋体" w:eastAsia="方正小标宋简体" w:cs="方正小标宋简体"/>
          <w:b w:val="0"/>
          <w:bCs/>
          <w:color w:val="000000"/>
          <w:sz w:val="44"/>
          <w:szCs w:val="44"/>
          <w:lang w:val="en-US" w:eastAsia="zh-CN"/>
        </w:rPr>
      </w:pPr>
      <w:r>
        <w:rPr>
          <w:rFonts w:hint="eastAsia" w:ascii="宋体" w:hAnsi="宋体" w:eastAsia="方正小标宋简体" w:cs="方正小标宋简体"/>
          <w:b w:val="0"/>
          <w:bCs/>
          <w:color w:val="000000"/>
          <w:sz w:val="44"/>
          <w:szCs w:val="44"/>
          <w:lang w:val="en-US" w:eastAsia="zh-CN"/>
        </w:rPr>
        <w:t>审查制度工作意见的通知</w:t>
      </w:r>
    </w:p>
    <w:p w14:paraId="1A116D6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方正小标宋简体" w:cs="方正小标宋简体"/>
          <w:b w:val="0"/>
          <w:bCs/>
          <w:color w:val="000000"/>
          <w:sz w:val="44"/>
          <w:szCs w:val="44"/>
          <w:lang w:val="en-US" w:eastAsia="zh-CN"/>
        </w:rPr>
      </w:pPr>
    </w:p>
    <w:p w14:paraId="2486301A">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eastAsia="仿宋_GB2312"/>
          <w:sz w:val="32"/>
          <w:szCs w:val="32"/>
        </w:rPr>
      </w:pPr>
      <w:r>
        <w:rPr>
          <w:rFonts w:hint="eastAsia" w:ascii="宋体" w:hAnsi="宋体" w:eastAsia="仿宋_GB2312"/>
          <w:sz w:val="32"/>
          <w:szCs w:val="32"/>
        </w:rPr>
        <w:t>各县（市、区）人民政府，市政府各部门，市属、驻市各单位：</w:t>
      </w:r>
    </w:p>
    <w:p w14:paraId="77D09CB7">
      <w:pPr>
        <w:keepNext w:val="0"/>
        <w:keepLines w:val="0"/>
        <w:pageBreakBefore w:val="0"/>
        <w:widowControl w:val="0"/>
        <w:kinsoku/>
        <w:wordWrap/>
        <w:overflowPunct/>
        <w:topLinePunct w:val="0"/>
        <w:autoSpaceDE/>
        <w:autoSpaceDN/>
        <w:bidi w:val="0"/>
        <w:adjustRightInd/>
        <w:snapToGrid/>
        <w:spacing w:beforeLines="0" w:afterLines="0" w:line="560" w:lineRule="exact"/>
        <w:ind w:firstLine="618" w:firstLineChars="200"/>
        <w:jc w:val="both"/>
        <w:textAlignment w:val="auto"/>
        <w:rPr>
          <w:rFonts w:hint="eastAsia" w:ascii="宋体" w:hAnsi="宋体" w:eastAsia="仿宋_GB2312" w:cs="仿宋_GB2312"/>
          <w:b w:val="0"/>
          <w:bCs/>
          <w:color w:val="000000"/>
          <w:sz w:val="32"/>
          <w:szCs w:val="32"/>
          <w:lang w:val="en-US" w:eastAsia="zh-CN"/>
        </w:rPr>
      </w:pPr>
      <w:r>
        <w:rPr>
          <w:rFonts w:hint="eastAsia" w:ascii="宋体" w:hAnsi="宋体" w:eastAsia="仿宋_GB2312" w:cs="仿宋_GB2312"/>
          <w:b w:val="0"/>
          <w:bCs/>
          <w:color w:val="000000"/>
          <w:sz w:val="32"/>
          <w:szCs w:val="32"/>
          <w:lang w:val="en-US" w:eastAsia="zh-CN"/>
        </w:rPr>
        <w:t>经市政府同意，现将《赣州市深入实施公平竞争审查制度工作意见》印发给你们，请结合实际认真抓好贯彻落实。</w:t>
      </w:r>
    </w:p>
    <w:p w14:paraId="63FE1813">
      <w:pPr>
        <w:pStyle w:val="37"/>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仿宋_GB2312"/>
          <w:b w:val="0"/>
          <w:bCs w:val="0"/>
          <w:spacing w:val="-20"/>
          <w:sz w:val="32"/>
          <w:szCs w:val="32"/>
        </w:rPr>
      </w:pPr>
    </w:p>
    <w:p w14:paraId="65DFBAD3">
      <w:pPr>
        <w:pStyle w:val="37"/>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仿宋_GB2312"/>
          <w:b w:val="0"/>
          <w:bCs w:val="0"/>
          <w:spacing w:val="-20"/>
          <w:sz w:val="32"/>
          <w:szCs w:val="32"/>
        </w:rPr>
      </w:pPr>
    </w:p>
    <w:p w14:paraId="0FA3BEB2">
      <w:pPr>
        <w:pStyle w:val="37"/>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仿宋_GB2312"/>
          <w:b w:val="0"/>
          <w:bCs w:val="0"/>
          <w:spacing w:val="-20"/>
          <w:sz w:val="32"/>
          <w:szCs w:val="32"/>
        </w:rPr>
      </w:pPr>
    </w:p>
    <w:p w14:paraId="085A6F3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仿宋_GB2312" w:cs="仿宋_GB2312"/>
          <w:b w:val="0"/>
          <w:bCs w:val="0"/>
          <w:sz w:val="32"/>
          <w:szCs w:val="32"/>
        </w:rPr>
      </w:pPr>
    </w:p>
    <w:p w14:paraId="087EC246">
      <w:pPr>
        <w:keepNext w:val="0"/>
        <w:keepLines w:val="0"/>
        <w:pageBreakBefore w:val="0"/>
        <w:widowControl w:val="0"/>
        <w:tabs>
          <w:tab w:val="left" w:pos="7461"/>
        </w:tabs>
        <w:kinsoku/>
        <w:wordWrap/>
        <w:overflowPunct/>
        <w:topLinePunct w:val="0"/>
        <w:autoSpaceDE/>
        <w:autoSpaceDN/>
        <w:bidi w:val="0"/>
        <w:adjustRightInd/>
        <w:snapToGrid/>
        <w:spacing w:line="500" w:lineRule="exact"/>
        <w:ind w:right="1201" w:rightChars="604"/>
        <w:jc w:val="right"/>
        <w:textAlignment w:val="auto"/>
        <w:rPr>
          <w:rFonts w:hint="eastAsia" w:ascii="宋体" w:hAnsi="宋体" w:eastAsia="仿宋_GB2312"/>
          <w:b w:val="0"/>
          <w:bCs w:val="0"/>
          <w:spacing w:val="40"/>
          <w:sz w:val="32"/>
          <w:szCs w:val="32"/>
        </w:rPr>
      </w:pPr>
      <w:r>
        <w:rPr>
          <w:rFonts w:hint="eastAsia" w:ascii="宋体" w:hAnsi="宋体" w:eastAsia="仿宋_GB2312"/>
          <w:b w:val="0"/>
          <w:bCs w:val="0"/>
          <w:spacing w:val="40"/>
          <w:sz w:val="32"/>
          <w:szCs w:val="32"/>
        </w:rPr>
        <w:t>202</w:t>
      </w:r>
      <w:r>
        <w:rPr>
          <w:rFonts w:hint="default" w:ascii="宋体" w:hAnsi="宋体" w:eastAsia="仿宋_GB2312"/>
          <w:b w:val="0"/>
          <w:bCs w:val="0"/>
          <w:spacing w:val="40"/>
          <w:sz w:val="32"/>
          <w:szCs w:val="32"/>
          <w:lang w:val="en" w:eastAsia="zh-CN"/>
        </w:rPr>
        <w:t>5</w:t>
      </w:r>
      <w:r>
        <w:rPr>
          <w:rFonts w:hint="eastAsia" w:ascii="宋体" w:hAnsi="宋体" w:eastAsia="仿宋_GB2312"/>
          <w:b w:val="0"/>
          <w:bCs w:val="0"/>
          <w:spacing w:val="40"/>
          <w:sz w:val="32"/>
          <w:szCs w:val="32"/>
        </w:rPr>
        <w:t>年</w:t>
      </w:r>
      <w:r>
        <w:rPr>
          <w:rFonts w:hint="default" w:ascii="宋体" w:hAnsi="宋体" w:eastAsia="仿宋_GB2312"/>
          <w:b w:val="0"/>
          <w:bCs w:val="0"/>
          <w:spacing w:val="40"/>
          <w:sz w:val="32"/>
          <w:szCs w:val="32"/>
          <w:lang w:val="en" w:eastAsia="zh-CN"/>
        </w:rPr>
        <w:t>5</w:t>
      </w:r>
      <w:r>
        <w:rPr>
          <w:rFonts w:hint="eastAsia" w:ascii="宋体" w:hAnsi="宋体" w:eastAsia="仿宋_GB2312"/>
          <w:b w:val="0"/>
          <w:bCs w:val="0"/>
          <w:spacing w:val="40"/>
          <w:sz w:val="32"/>
          <w:szCs w:val="32"/>
        </w:rPr>
        <w:t>月</w:t>
      </w:r>
      <w:r>
        <w:rPr>
          <w:rFonts w:hint="default" w:ascii="宋体" w:hAnsi="宋体" w:eastAsia="仿宋_GB2312"/>
          <w:b w:val="0"/>
          <w:bCs w:val="0"/>
          <w:spacing w:val="40"/>
          <w:sz w:val="32"/>
          <w:szCs w:val="32"/>
          <w:lang w:val="en" w:eastAsia="zh-CN"/>
        </w:rPr>
        <w:t>16</w:t>
      </w:r>
      <w:r>
        <w:rPr>
          <w:rFonts w:hint="eastAsia" w:ascii="宋体" w:hAnsi="宋体" w:eastAsia="仿宋_GB2312"/>
          <w:b w:val="0"/>
          <w:bCs w:val="0"/>
          <w:spacing w:val="40"/>
          <w:sz w:val="32"/>
          <w:szCs w:val="32"/>
        </w:rPr>
        <w:t>日</w:t>
      </w:r>
    </w:p>
    <w:p w14:paraId="679E46E7">
      <w:pPr>
        <w:keepNext w:val="0"/>
        <w:keepLines w:val="0"/>
        <w:pageBreakBefore w:val="0"/>
        <w:widowControl w:val="0"/>
        <w:kinsoku/>
        <w:wordWrap/>
        <w:overflowPunct/>
        <w:topLinePunct w:val="0"/>
        <w:autoSpaceDE/>
        <w:autoSpaceDN/>
        <w:bidi w:val="0"/>
        <w:adjustRightInd/>
        <w:snapToGrid/>
        <w:spacing w:line="500" w:lineRule="exact"/>
        <w:ind w:firstLine="618" w:firstLineChars="200"/>
        <w:textAlignment w:val="auto"/>
        <w:rPr>
          <w:rFonts w:hint="default" w:ascii="宋体" w:hAnsi="宋体" w:eastAsia="仿宋_GB2312" w:cs="仿宋_GB2312"/>
          <w:color w:val="000000"/>
          <w:spacing w:val="0"/>
          <w:kern w:val="0"/>
          <w:sz w:val="32"/>
          <w:szCs w:val="32"/>
          <w:highlight w:val="none"/>
          <w:lang w:val="en" w:eastAsia="zh-CN" w:bidi="ar"/>
        </w:rPr>
        <w:sectPr>
          <w:headerReference r:id="rId3" w:type="default"/>
          <w:footerReference r:id="rId4" w:type="default"/>
          <w:pgSz w:w="11906" w:h="16838"/>
          <w:pgMar w:top="2098" w:right="1588" w:bottom="2098" w:left="1588" w:header="851" w:footer="1701" w:gutter="0"/>
          <w:cols w:space="720" w:num="1"/>
          <w:docGrid w:type="linesAndChars" w:linePitch="574" w:charSpace="-2374"/>
        </w:sectPr>
      </w:pPr>
      <w:r>
        <w:rPr>
          <w:rFonts w:hint="eastAsia" w:ascii="宋体" w:hAnsi="宋体" w:eastAsia="仿宋_GB2312" w:cs="仿宋_GB2312"/>
          <w:color w:val="000000"/>
          <w:spacing w:val="0"/>
          <w:kern w:val="0"/>
          <w:sz w:val="32"/>
          <w:szCs w:val="32"/>
          <w:highlight w:val="none"/>
          <w:lang w:val="en" w:eastAsia="zh-CN" w:bidi="ar"/>
        </w:rPr>
        <w:t>（此件主动公开）</w:t>
      </w:r>
    </w:p>
    <w:p w14:paraId="39D85294">
      <w:pPr>
        <w:keepNext w:val="0"/>
        <w:keepLines w:val="0"/>
        <w:pageBreakBefore w:val="0"/>
        <w:widowControl w:val="0"/>
        <w:kinsoku/>
        <w:wordWrap/>
        <w:overflowPunct/>
        <w:topLinePunct w:val="0"/>
        <w:autoSpaceDE/>
        <w:autoSpaceDN/>
        <w:bidi w:val="0"/>
        <w:adjustRightInd/>
        <w:snapToGrid/>
        <w:spacing w:beforeLines="0" w:afterLines="0" w:line="560" w:lineRule="exact"/>
        <w:jc w:val="center"/>
        <w:textAlignment w:val="auto"/>
        <w:rPr>
          <w:rFonts w:hint="eastAsia" w:ascii="宋体" w:hAnsi="宋体" w:eastAsia="方正小标宋_GBK" w:cs="方正小标宋_GBK"/>
          <w:b w:val="0"/>
          <w:bCs/>
          <w:color w:val="000000"/>
          <w:sz w:val="44"/>
          <w:szCs w:val="44"/>
          <w:lang w:val="en-US" w:eastAsia="zh-CN"/>
        </w:rPr>
      </w:pPr>
      <w:r>
        <w:rPr>
          <w:rFonts w:hint="eastAsia" w:ascii="宋体" w:hAnsi="宋体" w:eastAsia="方正小标宋_GBK" w:cs="方正小标宋_GBK"/>
          <w:b w:val="0"/>
          <w:bCs/>
          <w:color w:val="000000"/>
          <w:sz w:val="44"/>
          <w:szCs w:val="44"/>
          <w:lang w:val="en-US" w:eastAsia="zh-CN"/>
        </w:rPr>
        <w:t>赣州市深入实施公平竞争审查制度</w:t>
      </w:r>
    </w:p>
    <w:p w14:paraId="6CB4193B">
      <w:pPr>
        <w:keepNext w:val="0"/>
        <w:keepLines w:val="0"/>
        <w:pageBreakBefore w:val="0"/>
        <w:widowControl w:val="0"/>
        <w:kinsoku/>
        <w:wordWrap/>
        <w:overflowPunct/>
        <w:topLinePunct w:val="0"/>
        <w:autoSpaceDE/>
        <w:autoSpaceDN/>
        <w:bidi w:val="0"/>
        <w:adjustRightInd/>
        <w:snapToGrid/>
        <w:spacing w:beforeLines="0" w:afterLines="0" w:line="560" w:lineRule="exact"/>
        <w:jc w:val="center"/>
        <w:textAlignment w:val="auto"/>
        <w:rPr>
          <w:rFonts w:hint="eastAsia" w:ascii="宋体" w:hAnsi="宋体" w:eastAsia="方正小标宋_GBK" w:cs="方正小标宋_GBK"/>
          <w:b w:val="0"/>
          <w:bCs/>
          <w:color w:val="000000"/>
          <w:sz w:val="44"/>
          <w:szCs w:val="44"/>
          <w:lang w:val="en-US" w:eastAsia="zh-CN"/>
        </w:rPr>
      </w:pPr>
      <w:r>
        <w:rPr>
          <w:rFonts w:hint="eastAsia" w:ascii="宋体" w:hAnsi="宋体" w:eastAsia="方正小标宋_GBK" w:cs="方正小标宋_GBK"/>
          <w:b w:val="0"/>
          <w:bCs/>
          <w:color w:val="000000"/>
          <w:sz w:val="44"/>
          <w:szCs w:val="44"/>
          <w:lang w:val="en-US" w:eastAsia="zh-CN"/>
        </w:rPr>
        <w:t>工作意见</w:t>
      </w:r>
    </w:p>
    <w:p w14:paraId="47A7FE0D">
      <w:pPr>
        <w:keepNext w:val="0"/>
        <w:keepLines w:val="0"/>
        <w:pageBreakBefore w:val="0"/>
        <w:widowControl w:val="0"/>
        <w:kinsoku/>
        <w:wordWrap/>
        <w:overflowPunct/>
        <w:topLinePunct w:val="0"/>
        <w:autoSpaceDE/>
        <w:autoSpaceDN/>
        <w:bidi w:val="0"/>
        <w:adjustRightInd/>
        <w:snapToGrid/>
        <w:spacing w:beforeLines="0" w:afterLines="0" w:line="560" w:lineRule="exact"/>
        <w:ind w:firstLine="618" w:firstLineChars="200"/>
        <w:textAlignment w:val="auto"/>
        <w:rPr>
          <w:rFonts w:hint="eastAsia" w:ascii="宋体" w:hAnsi="宋体" w:eastAsia="国标仿宋-GB/T 2312" w:cs="国标仿宋-GB/T 2312"/>
          <w:b w:val="0"/>
          <w:bCs/>
          <w:color w:val="000000"/>
          <w:sz w:val="32"/>
          <w:szCs w:val="32"/>
          <w:lang w:val="en-US" w:eastAsia="zh-CN"/>
        </w:rPr>
      </w:pPr>
    </w:p>
    <w:p w14:paraId="3D0F2817">
      <w:pPr>
        <w:keepNext w:val="0"/>
        <w:keepLines w:val="0"/>
        <w:pageBreakBefore w:val="0"/>
        <w:widowControl w:val="0"/>
        <w:kinsoku/>
        <w:wordWrap/>
        <w:overflowPunct/>
        <w:topLinePunct w:val="0"/>
        <w:autoSpaceDE/>
        <w:autoSpaceDN/>
        <w:bidi w:val="0"/>
        <w:adjustRightInd/>
        <w:snapToGrid/>
        <w:spacing w:beforeLines="0" w:afterLines="0" w:line="560" w:lineRule="exact"/>
        <w:ind w:firstLine="618" w:firstLineChars="200"/>
        <w:textAlignment w:val="auto"/>
        <w:rPr>
          <w:rFonts w:hint="eastAsia" w:ascii="宋体" w:hAnsi="宋体" w:eastAsia="仿宋_GB2312" w:cs="仿宋_GB2312"/>
          <w:b w:val="0"/>
          <w:bCs/>
          <w:color w:val="000000"/>
          <w:sz w:val="32"/>
          <w:szCs w:val="32"/>
          <w:lang w:val="en-US" w:eastAsia="zh-CN"/>
        </w:rPr>
      </w:pPr>
      <w:r>
        <w:rPr>
          <w:rFonts w:hint="eastAsia" w:ascii="宋体" w:hAnsi="宋体" w:eastAsia="仿宋_GB2312" w:cs="仿宋_GB2312"/>
          <w:b w:val="0"/>
          <w:bCs/>
          <w:color w:val="000000"/>
          <w:sz w:val="32"/>
          <w:szCs w:val="32"/>
          <w:lang w:val="en-US" w:eastAsia="zh-CN"/>
        </w:rPr>
        <w:t>为深入贯彻落实党中央、国务院决策部署，推动各地各部门加快融入共建全国统一大市场，根据《中华人民共和国反垄断法》《公平竞争审查条例》《国务院关于在市场体系中建立公平竞争审查制度的意见》等规定，对标深圳等发达地区，制定我市深入实施公平竞争审查制度工作意见。</w:t>
      </w:r>
    </w:p>
    <w:p w14:paraId="03615F10">
      <w:pPr>
        <w:keepNext w:val="0"/>
        <w:keepLines w:val="0"/>
        <w:pageBreakBefore w:val="0"/>
        <w:widowControl w:val="0"/>
        <w:kinsoku/>
        <w:wordWrap/>
        <w:overflowPunct/>
        <w:topLinePunct w:val="0"/>
        <w:autoSpaceDE/>
        <w:autoSpaceDN/>
        <w:bidi w:val="0"/>
        <w:adjustRightInd/>
        <w:snapToGrid/>
        <w:spacing w:beforeLines="0" w:afterLines="0" w:line="560" w:lineRule="exact"/>
        <w:ind w:firstLine="618" w:firstLineChars="200"/>
        <w:textAlignment w:val="auto"/>
        <w:rPr>
          <w:rFonts w:hint="default" w:ascii="宋体" w:hAnsi="宋体" w:eastAsia="黑体" w:cs="黑体"/>
          <w:b w:val="0"/>
          <w:bCs/>
          <w:color w:val="000000"/>
          <w:sz w:val="32"/>
          <w:szCs w:val="32"/>
          <w:lang w:val="en-US" w:eastAsia="zh-CN"/>
        </w:rPr>
      </w:pPr>
      <w:r>
        <w:rPr>
          <w:rFonts w:hint="eastAsia" w:ascii="宋体" w:hAnsi="宋体" w:eastAsia="黑体" w:cs="黑体"/>
          <w:b w:val="0"/>
          <w:bCs/>
          <w:color w:val="000000"/>
          <w:sz w:val="32"/>
          <w:szCs w:val="32"/>
          <w:lang w:val="en-US" w:eastAsia="zh-CN"/>
        </w:rPr>
        <w:t>一、工作目标</w:t>
      </w:r>
    </w:p>
    <w:p w14:paraId="24C774FD">
      <w:pPr>
        <w:keepNext w:val="0"/>
        <w:keepLines w:val="0"/>
        <w:pageBreakBefore w:val="0"/>
        <w:widowControl w:val="0"/>
        <w:kinsoku/>
        <w:wordWrap/>
        <w:overflowPunct/>
        <w:topLinePunct w:val="0"/>
        <w:autoSpaceDE/>
        <w:autoSpaceDN/>
        <w:bidi w:val="0"/>
        <w:adjustRightInd/>
        <w:snapToGrid/>
        <w:spacing w:beforeLines="0" w:afterLines="0" w:line="560" w:lineRule="exact"/>
        <w:ind w:firstLine="618" w:firstLineChars="200"/>
        <w:textAlignment w:val="auto"/>
        <w:rPr>
          <w:rFonts w:hint="eastAsia" w:ascii="宋体" w:hAnsi="宋体" w:eastAsia="仿宋_GB2312" w:cs="仿宋_GB2312"/>
          <w:b w:val="0"/>
          <w:bCs/>
          <w:color w:val="000000"/>
          <w:sz w:val="32"/>
          <w:szCs w:val="32"/>
          <w:lang w:val="en-US" w:eastAsia="zh-CN"/>
        </w:rPr>
      </w:pPr>
      <w:r>
        <w:rPr>
          <w:rFonts w:hint="eastAsia" w:ascii="宋体" w:hAnsi="宋体" w:eastAsia="仿宋_GB2312" w:cs="仿宋_GB2312"/>
          <w:b w:val="0"/>
          <w:bCs/>
          <w:color w:val="000000"/>
          <w:sz w:val="32"/>
          <w:szCs w:val="32"/>
          <w:lang w:val="en-US" w:eastAsia="zh-CN"/>
        </w:rPr>
        <w:t>按照“五个100%”的目标（市县两级公平竞争审查覆盖率100%，重大政策措施会审率100%，妨碍公平竞争政策存量清理率100%，审查人员年度培训覆盖率100%，举报核查整改率100%），进一步完善公平竞争审查工作机制，全面提升审查质效，坚决破除地方保护和市场分割，确保政府相关行为符合公平竞争要求和相关法律法规，各类市场主体平等使用生产要素、公平参与市场竞争、同等受到法律保护，市场活力有力激发，资源配置效率全面提升，营商环境持续优化。</w:t>
      </w:r>
    </w:p>
    <w:p w14:paraId="0B63D74F">
      <w:pPr>
        <w:keepNext w:val="0"/>
        <w:keepLines w:val="0"/>
        <w:pageBreakBefore w:val="0"/>
        <w:widowControl w:val="0"/>
        <w:kinsoku/>
        <w:wordWrap/>
        <w:overflowPunct/>
        <w:topLinePunct w:val="0"/>
        <w:autoSpaceDE/>
        <w:autoSpaceDN/>
        <w:bidi w:val="0"/>
        <w:adjustRightInd/>
        <w:snapToGrid/>
        <w:spacing w:beforeLines="0" w:afterLines="0" w:line="560" w:lineRule="exact"/>
        <w:ind w:firstLine="618" w:firstLineChars="200"/>
        <w:textAlignment w:val="auto"/>
        <w:rPr>
          <w:rFonts w:hint="eastAsia" w:ascii="宋体" w:hAnsi="宋体" w:eastAsia="黑体" w:cs="黑体"/>
          <w:b w:val="0"/>
          <w:bCs/>
          <w:color w:val="000000"/>
          <w:sz w:val="32"/>
          <w:szCs w:val="32"/>
          <w:lang w:val="en-US" w:eastAsia="zh-CN"/>
        </w:rPr>
      </w:pPr>
      <w:r>
        <w:rPr>
          <w:rFonts w:hint="eastAsia" w:ascii="宋体" w:hAnsi="宋体" w:eastAsia="黑体" w:cs="黑体"/>
          <w:b w:val="0"/>
          <w:bCs/>
          <w:color w:val="000000"/>
          <w:sz w:val="32"/>
          <w:szCs w:val="32"/>
          <w:lang w:val="en-US" w:eastAsia="zh-CN"/>
        </w:rPr>
        <w:t>二、审查范围</w:t>
      </w:r>
    </w:p>
    <w:p w14:paraId="4B43A10B">
      <w:pPr>
        <w:keepNext w:val="0"/>
        <w:keepLines w:val="0"/>
        <w:pageBreakBefore w:val="0"/>
        <w:widowControl w:val="0"/>
        <w:kinsoku/>
        <w:wordWrap/>
        <w:overflowPunct/>
        <w:topLinePunct w:val="0"/>
        <w:autoSpaceDE/>
        <w:autoSpaceDN/>
        <w:bidi w:val="0"/>
        <w:adjustRightInd/>
        <w:snapToGrid/>
        <w:spacing w:beforeLines="0" w:afterLines="0" w:line="560" w:lineRule="exact"/>
        <w:ind w:firstLine="618" w:firstLineChars="200"/>
        <w:textAlignment w:val="auto"/>
        <w:rPr>
          <w:rFonts w:hint="default" w:ascii="宋体" w:hAnsi="宋体" w:eastAsia="仿宋_GB2312" w:cs="仿宋_GB2312"/>
          <w:b w:val="0"/>
          <w:bCs/>
          <w:color w:val="000000"/>
          <w:sz w:val="32"/>
          <w:szCs w:val="32"/>
          <w:lang w:val="en-US" w:eastAsia="zh-CN"/>
        </w:rPr>
      </w:pPr>
      <w:r>
        <w:rPr>
          <w:rFonts w:hint="default" w:ascii="宋体" w:hAnsi="宋体" w:eastAsia="仿宋_GB2312" w:cs="仿宋_GB2312"/>
          <w:b w:val="0"/>
          <w:bCs/>
          <w:color w:val="000000"/>
          <w:sz w:val="32"/>
          <w:szCs w:val="32"/>
          <w:lang w:val="en-US" w:eastAsia="zh-CN"/>
        </w:rPr>
        <w:t>各地</w:t>
      </w:r>
      <w:r>
        <w:rPr>
          <w:rFonts w:hint="eastAsia" w:ascii="宋体" w:hAnsi="宋体" w:eastAsia="仿宋_GB2312" w:cs="仿宋_GB2312"/>
          <w:b w:val="0"/>
          <w:bCs/>
          <w:color w:val="000000"/>
          <w:sz w:val="32"/>
          <w:szCs w:val="32"/>
          <w:lang w:val="en-US" w:eastAsia="zh-CN"/>
        </w:rPr>
        <w:t>各部门</w:t>
      </w:r>
      <w:r>
        <w:rPr>
          <w:rFonts w:hint="default" w:ascii="宋体" w:hAnsi="宋体" w:eastAsia="仿宋_GB2312" w:cs="仿宋_GB2312"/>
          <w:b w:val="0"/>
          <w:bCs/>
          <w:color w:val="000000"/>
          <w:sz w:val="32"/>
          <w:szCs w:val="32"/>
          <w:lang w:val="en-US" w:eastAsia="zh-CN"/>
        </w:rPr>
        <w:t>在起草涉及</w:t>
      </w:r>
      <w:r>
        <w:rPr>
          <w:rFonts w:hint="eastAsia" w:ascii="宋体" w:hAnsi="宋体" w:eastAsia="仿宋_GB2312" w:cs="仿宋_GB2312"/>
          <w:b w:val="0"/>
          <w:bCs/>
          <w:color w:val="000000"/>
          <w:sz w:val="32"/>
          <w:szCs w:val="32"/>
          <w:lang w:val="en-US" w:eastAsia="zh-CN"/>
        </w:rPr>
        <w:t>市场准入和退出、产业发展、招商引资、政府采购、招标投标、资质标准、技术规范、监管执法</w:t>
      </w:r>
      <w:r>
        <w:rPr>
          <w:rFonts w:hint="default" w:ascii="宋体" w:hAnsi="宋体" w:eastAsia="仿宋_GB2312" w:cs="仿宋_GB2312"/>
          <w:b w:val="0"/>
          <w:bCs/>
          <w:color w:val="000000"/>
          <w:sz w:val="32"/>
          <w:szCs w:val="32"/>
          <w:lang w:val="en-US" w:eastAsia="zh-CN"/>
        </w:rPr>
        <w:t>等</w:t>
      </w:r>
      <w:r>
        <w:rPr>
          <w:rFonts w:hint="eastAsia" w:ascii="宋体" w:hAnsi="宋体" w:eastAsia="仿宋_GB2312" w:cs="仿宋_GB2312"/>
          <w:b w:val="0"/>
          <w:bCs/>
          <w:color w:val="000000"/>
          <w:sz w:val="32"/>
          <w:szCs w:val="32"/>
          <w:lang w:val="en-US" w:eastAsia="zh-CN"/>
        </w:rPr>
        <w:t>经营者经济活动的政策措施，</w:t>
      </w:r>
      <w:r>
        <w:rPr>
          <w:rFonts w:hint="default" w:ascii="宋体" w:hAnsi="宋体" w:eastAsia="仿宋_GB2312" w:cs="仿宋_GB2312"/>
          <w:b w:val="0"/>
          <w:bCs/>
          <w:color w:val="000000"/>
          <w:sz w:val="32"/>
          <w:szCs w:val="32"/>
          <w:lang w:val="en-US" w:eastAsia="zh-CN"/>
        </w:rPr>
        <w:t>应当</w:t>
      </w:r>
      <w:r>
        <w:rPr>
          <w:rFonts w:hint="eastAsia" w:ascii="宋体" w:hAnsi="宋体" w:eastAsia="仿宋_GB2312" w:cs="仿宋_GB2312"/>
          <w:b w:val="0"/>
          <w:bCs/>
          <w:color w:val="000000"/>
          <w:sz w:val="32"/>
          <w:szCs w:val="32"/>
          <w:lang w:val="en-US" w:eastAsia="zh-CN"/>
        </w:rPr>
        <w:t>依照《公平竞争审查条例》</w:t>
      </w:r>
      <w:r>
        <w:rPr>
          <w:rFonts w:hint="default" w:ascii="宋体" w:hAnsi="宋体" w:eastAsia="仿宋_GB2312" w:cs="仿宋_GB2312"/>
          <w:b w:val="0"/>
          <w:bCs/>
          <w:color w:val="000000"/>
          <w:sz w:val="32"/>
          <w:szCs w:val="32"/>
          <w:lang w:val="en-US" w:eastAsia="zh-CN"/>
        </w:rPr>
        <w:t>进行公平竞争审查。上述政策措施</w:t>
      </w:r>
      <w:r>
        <w:rPr>
          <w:rFonts w:hint="eastAsia" w:ascii="宋体" w:hAnsi="宋体" w:eastAsia="仿宋_GB2312" w:cs="仿宋_GB2312"/>
          <w:b w:val="0"/>
          <w:bCs/>
          <w:color w:val="000000"/>
          <w:sz w:val="32"/>
          <w:szCs w:val="32"/>
          <w:lang w:val="en-US" w:eastAsia="zh-CN"/>
        </w:rPr>
        <w:t>包括但不限于法律法规、规章、行政规范性文件、政策性文件，以及政府采购文件、招标文件、会议纪要、拟与经营者签订的行政协议和备忘录等。“应审未审”的政策措施不得出台。</w:t>
      </w:r>
    </w:p>
    <w:p w14:paraId="7AD84E35">
      <w:pPr>
        <w:keepNext w:val="0"/>
        <w:keepLines w:val="0"/>
        <w:pageBreakBefore w:val="0"/>
        <w:widowControl w:val="0"/>
        <w:kinsoku/>
        <w:wordWrap/>
        <w:overflowPunct/>
        <w:topLinePunct w:val="0"/>
        <w:autoSpaceDE/>
        <w:autoSpaceDN/>
        <w:bidi w:val="0"/>
        <w:adjustRightInd/>
        <w:snapToGrid/>
        <w:spacing w:beforeLines="0" w:afterLines="0" w:line="560" w:lineRule="exact"/>
        <w:ind w:firstLine="618" w:firstLineChars="200"/>
        <w:textAlignment w:val="auto"/>
        <w:rPr>
          <w:rFonts w:hint="eastAsia" w:ascii="宋体" w:hAnsi="宋体" w:eastAsia="黑体" w:cs="黑体"/>
          <w:b w:val="0"/>
          <w:bCs/>
          <w:color w:val="000000"/>
          <w:sz w:val="32"/>
          <w:szCs w:val="32"/>
          <w:lang w:val="en-US" w:eastAsia="zh-CN"/>
        </w:rPr>
      </w:pPr>
      <w:r>
        <w:rPr>
          <w:rFonts w:hint="eastAsia" w:ascii="宋体" w:hAnsi="宋体" w:eastAsia="黑体" w:cs="黑体"/>
          <w:b w:val="0"/>
          <w:bCs/>
          <w:color w:val="000000"/>
          <w:sz w:val="32"/>
          <w:szCs w:val="32"/>
          <w:lang w:val="en-US" w:eastAsia="zh-CN"/>
        </w:rPr>
        <w:t>三、工作措施</w:t>
      </w:r>
    </w:p>
    <w:p w14:paraId="56C38C7A">
      <w:pPr>
        <w:keepNext w:val="0"/>
        <w:keepLines w:val="0"/>
        <w:pageBreakBefore w:val="0"/>
        <w:widowControl w:val="0"/>
        <w:kinsoku/>
        <w:wordWrap/>
        <w:overflowPunct/>
        <w:topLinePunct w:val="0"/>
        <w:autoSpaceDE/>
        <w:autoSpaceDN/>
        <w:bidi w:val="0"/>
        <w:adjustRightInd/>
        <w:snapToGrid/>
        <w:spacing w:beforeLines="0" w:afterLines="0" w:line="560" w:lineRule="exact"/>
        <w:ind w:firstLine="618" w:firstLineChars="200"/>
        <w:textAlignment w:val="auto"/>
        <w:rPr>
          <w:rFonts w:hint="eastAsia" w:ascii="宋体" w:hAnsi="宋体" w:eastAsia="楷体_GB2312" w:cs="楷体_GB2312"/>
          <w:b w:val="0"/>
          <w:bCs/>
          <w:color w:val="000000"/>
          <w:sz w:val="32"/>
          <w:szCs w:val="32"/>
          <w:lang w:val="en-US" w:eastAsia="zh-CN"/>
        </w:rPr>
      </w:pPr>
      <w:r>
        <w:rPr>
          <w:rFonts w:hint="eastAsia" w:ascii="宋体" w:hAnsi="宋体" w:eastAsia="楷体_GB2312" w:cs="楷体_GB2312"/>
          <w:b w:val="0"/>
          <w:bCs/>
          <w:color w:val="000000"/>
          <w:sz w:val="32"/>
          <w:szCs w:val="32"/>
          <w:lang w:val="en-US" w:eastAsia="zh-CN"/>
        </w:rPr>
        <w:t>（一）完善全链条责任机制</w:t>
      </w:r>
    </w:p>
    <w:p w14:paraId="5B5BFA00">
      <w:pPr>
        <w:keepNext w:val="0"/>
        <w:keepLines w:val="0"/>
        <w:pageBreakBefore w:val="0"/>
        <w:widowControl w:val="0"/>
        <w:kinsoku/>
        <w:wordWrap/>
        <w:overflowPunct/>
        <w:topLinePunct w:val="0"/>
        <w:autoSpaceDE/>
        <w:autoSpaceDN/>
        <w:bidi w:val="0"/>
        <w:adjustRightInd/>
        <w:snapToGrid/>
        <w:spacing w:beforeLines="0" w:afterLines="0" w:line="560" w:lineRule="exact"/>
        <w:ind w:firstLine="618" w:firstLineChars="200"/>
        <w:textAlignment w:val="auto"/>
        <w:rPr>
          <w:rFonts w:hint="eastAsia" w:ascii="宋体" w:hAnsi="宋体" w:eastAsia="仿宋_GB2312" w:cs="仿宋_GB2312"/>
          <w:b w:val="0"/>
          <w:bCs/>
          <w:color w:val="000000"/>
          <w:sz w:val="32"/>
          <w:szCs w:val="32"/>
          <w:lang w:val="en-US" w:eastAsia="zh-CN"/>
        </w:rPr>
      </w:pPr>
      <w:r>
        <w:rPr>
          <w:rFonts w:hint="eastAsia" w:ascii="宋体" w:hAnsi="宋体" w:eastAsia="仿宋_GB2312" w:cs="仿宋_GB2312"/>
          <w:b w:val="0"/>
          <w:bCs/>
          <w:color w:val="000000"/>
          <w:sz w:val="32"/>
          <w:szCs w:val="32"/>
          <w:lang w:val="en-US" w:eastAsia="zh-CN"/>
        </w:rPr>
        <w:t>1.强化人民政府组织领导。各县（市、区）政府按照《公平竞争审查条例》要求，保障公平竞争审查工作力量和工作经费，推动公平竞争审查工作纳入政府工作报告、年度重点工作安排、单位理论学习内容和党校课堂、普法宣传内容，纳入法治政府建设、优化营商环境等考核评价，形成齐抓共管工作机制。加大跟踪督办力度，压实各地各部门审查主体责任。</w:t>
      </w:r>
    </w:p>
    <w:p w14:paraId="623D8E35">
      <w:pPr>
        <w:keepNext w:val="0"/>
        <w:keepLines w:val="0"/>
        <w:pageBreakBefore w:val="0"/>
        <w:widowControl w:val="0"/>
        <w:kinsoku/>
        <w:wordWrap/>
        <w:overflowPunct/>
        <w:topLinePunct w:val="0"/>
        <w:autoSpaceDE/>
        <w:autoSpaceDN/>
        <w:bidi w:val="0"/>
        <w:adjustRightInd/>
        <w:snapToGrid/>
        <w:spacing w:beforeLines="0" w:afterLines="0" w:line="560" w:lineRule="exact"/>
        <w:ind w:firstLine="618" w:firstLineChars="200"/>
        <w:textAlignment w:val="auto"/>
        <w:rPr>
          <w:rFonts w:hint="eastAsia" w:ascii="宋体" w:hAnsi="宋体" w:eastAsia="仿宋_GB2312" w:cs="仿宋_GB2312"/>
          <w:b w:val="0"/>
          <w:bCs/>
          <w:color w:val="000000"/>
          <w:sz w:val="32"/>
          <w:szCs w:val="32"/>
          <w:lang w:val="en-US" w:eastAsia="zh-CN"/>
        </w:rPr>
      </w:pPr>
      <w:r>
        <w:rPr>
          <w:rFonts w:hint="eastAsia" w:ascii="宋体" w:hAnsi="宋体" w:eastAsia="仿宋_GB2312" w:cs="仿宋_GB2312"/>
          <w:b w:val="0"/>
          <w:bCs/>
          <w:color w:val="000000"/>
          <w:sz w:val="32"/>
          <w:szCs w:val="32"/>
          <w:lang w:val="en-US" w:eastAsia="zh-CN"/>
        </w:rPr>
        <w:t>2.强化市场监管牵头责任。市县市场监管部门负责牵头实施公平竞争审查制度，统筹协调推进公平竞争审查工作，负责重大政策措施会同审查，开展抽查检查和第三方评估。及时总结本地实施成效，推广先进做法和经验。</w:t>
      </w:r>
    </w:p>
    <w:p w14:paraId="6F5DEA52">
      <w:pPr>
        <w:keepNext w:val="0"/>
        <w:keepLines w:val="0"/>
        <w:pageBreakBefore w:val="0"/>
        <w:widowControl w:val="0"/>
        <w:kinsoku/>
        <w:wordWrap/>
        <w:overflowPunct/>
        <w:topLinePunct w:val="0"/>
        <w:autoSpaceDE/>
        <w:autoSpaceDN/>
        <w:bidi w:val="0"/>
        <w:adjustRightInd/>
        <w:snapToGrid/>
        <w:spacing w:beforeLines="0" w:afterLines="0" w:line="560" w:lineRule="exact"/>
        <w:ind w:firstLine="618" w:firstLineChars="200"/>
        <w:textAlignment w:val="auto"/>
        <w:rPr>
          <w:rFonts w:hint="eastAsia" w:ascii="宋体" w:hAnsi="宋体" w:eastAsia="仿宋_GB2312" w:cs="仿宋_GB2312"/>
          <w:b w:val="0"/>
          <w:bCs/>
          <w:color w:val="000000"/>
          <w:sz w:val="32"/>
          <w:szCs w:val="32"/>
          <w:lang w:val="en-US" w:eastAsia="zh-CN"/>
        </w:rPr>
      </w:pPr>
      <w:r>
        <w:rPr>
          <w:rFonts w:hint="eastAsia" w:ascii="宋体" w:hAnsi="宋体" w:eastAsia="仿宋_GB2312" w:cs="仿宋_GB2312"/>
          <w:b w:val="0"/>
          <w:bCs/>
          <w:color w:val="000000"/>
          <w:sz w:val="32"/>
          <w:szCs w:val="32"/>
          <w:lang w:val="en-US" w:eastAsia="zh-CN"/>
        </w:rPr>
        <w:t>3.强化起草单位主体责任。按照“谁起草、谁审查”“谁牵头、谁审查”“谁制定、谁清理”的原则，明确起草单位公平竞争审查主体责任。将公平竞争审查嵌入发文流程，统一实施“起草机构初审+指定机构复审”审查模式。严守审查底线红线，未经审查或审查不符合标准的政策措施不予实施。定期清理存量政策措施，及时消除竞争限制、公开清理结果。及时向市场监管部门报送内部审查机构、审查人员以及公平竞争审查数据等信息。</w:t>
      </w:r>
    </w:p>
    <w:p w14:paraId="51FC9ABF">
      <w:pPr>
        <w:keepNext w:val="0"/>
        <w:keepLines w:val="0"/>
        <w:pageBreakBefore w:val="0"/>
        <w:widowControl w:val="0"/>
        <w:kinsoku/>
        <w:wordWrap/>
        <w:overflowPunct/>
        <w:topLinePunct w:val="0"/>
        <w:autoSpaceDE/>
        <w:autoSpaceDN/>
        <w:bidi w:val="0"/>
        <w:adjustRightInd/>
        <w:snapToGrid/>
        <w:spacing w:beforeLines="0" w:afterLines="0" w:line="560" w:lineRule="exact"/>
        <w:ind w:firstLine="618" w:firstLineChars="200"/>
        <w:textAlignment w:val="auto"/>
        <w:rPr>
          <w:rFonts w:hint="eastAsia" w:ascii="宋体" w:hAnsi="宋体" w:eastAsia="楷体_GB2312" w:cs="楷体_GB2312"/>
          <w:b w:val="0"/>
          <w:bCs/>
          <w:color w:val="000000"/>
          <w:sz w:val="32"/>
          <w:szCs w:val="32"/>
          <w:lang w:val="en-US" w:eastAsia="zh-CN"/>
        </w:rPr>
      </w:pPr>
      <w:r>
        <w:rPr>
          <w:rFonts w:hint="eastAsia" w:ascii="宋体" w:hAnsi="宋体" w:eastAsia="楷体_GB2312" w:cs="楷体_GB2312"/>
          <w:b w:val="0"/>
          <w:bCs/>
          <w:color w:val="000000"/>
          <w:sz w:val="32"/>
          <w:szCs w:val="32"/>
          <w:lang w:val="en-US" w:eastAsia="zh-CN"/>
        </w:rPr>
        <w:t>（二）细化审查层级</w:t>
      </w:r>
    </w:p>
    <w:p w14:paraId="11AD04EF">
      <w:pPr>
        <w:keepNext w:val="0"/>
        <w:keepLines w:val="0"/>
        <w:pageBreakBefore w:val="0"/>
        <w:widowControl w:val="0"/>
        <w:kinsoku/>
        <w:wordWrap/>
        <w:overflowPunct/>
        <w:topLinePunct w:val="0"/>
        <w:autoSpaceDE/>
        <w:autoSpaceDN/>
        <w:bidi w:val="0"/>
        <w:adjustRightInd/>
        <w:snapToGrid/>
        <w:spacing w:beforeLines="0" w:afterLines="0" w:line="560" w:lineRule="exact"/>
        <w:ind w:firstLine="618" w:firstLineChars="200"/>
        <w:textAlignment w:val="auto"/>
        <w:rPr>
          <w:rFonts w:hint="eastAsia" w:ascii="宋体" w:hAnsi="宋体" w:eastAsia="仿宋_GB2312" w:cs="仿宋_GB2312"/>
          <w:b w:val="0"/>
          <w:bCs/>
          <w:color w:val="000000"/>
          <w:sz w:val="32"/>
          <w:szCs w:val="32"/>
          <w:lang w:val="en-US" w:eastAsia="zh-CN"/>
        </w:rPr>
      </w:pPr>
      <w:r>
        <w:rPr>
          <w:rFonts w:hint="eastAsia" w:ascii="宋体" w:hAnsi="宋体" w:eastAsia="仿宋_GB2312" w:cs="仿宋_GB2312"/>
          <w:b w:val="0"/>
          <w:bCs/>
          <w:color w:val="000000"/>
          <w:sz w:val="32"/>
          <w:szCs w:val="32"/>
          <w:lang w:val="en-US" w:eastAsia="zh-CN"/>
        </w:rPr>
        <w:t>政策措施公平竞争审查，采取分级分类审查方式。</w:t>
      </w:r>
    </w:p>
    <w:p w14:paraId="4CBB741B">
      <w:pPr>
        <w:keepNext w:val="0"/>
        <w:keepLines w:val="0"/>
        <w:pageBreakBefore w:val="0"/>
        <w:widowControl w:val="0"/>
        <w:kinsoku/>
        <w:wordWrap/>
        <w:overflowPunct/>
        <w:topLinePunct w:val="0"/>
        <w:autoSpaceDE/>
        <w:autoSpaceDN/>
        <w:bidi w:val="0"/>
        <w:adjustRightInd/>
        <w:snapToGrid/>
        <w:spacing w:beforeLines="0" w:afterLines="0" w:line="560" w:lineRule="exact"/>
        <w:ind w:firstLine="618" w:firstLineChars="200"/>
        <w:textAlignment w:val="auto"/>
        <w:rPr>
          <w:rFonts w:hint="eastAsia" w:ascii="宋体" w:hAnsi="宋体" w:eastAsia="仿宋_GB2312" w:cs="仿宋_GB2312"/>
          <w:b w:val="0"/>
          <w:bCs/>
          <w:color w:val="000000"/>
          <w:sz w:val="32"/>
          <w:szCs w:val="32"/>
          <w:lang w:val="en-US" w:eastAsia="zh-CN"/>
        </w:rPr>
      </w:pPr>
      <w:r>
        <w:rPr>
          <w:rFonts w:hint="eastAsia" w:ascii="宋体" w:hAnsi="宋体" w:eastAsia="仿宋_GB2312" w:cs="仿宋_GB2312"/>
          <w:b w:val="0"/>
          <w:bCs/>
          <w:color w:val="000000"/>
          <w:sz w:val="32"/>
          <w:szCs w:val="32"/>
          <w:lang w:val="en-US" w:eastAsia="zh-CN"/>
        </w:rPr>
        <w:t>4.一般政策措施自我审查。以部门名义（含协调机制）出台的政策措施，由起草单位或牵头单位按照内部审查方式，开展公平竞争审查。审查过程中，应认真听取本部门法律顾问（公职律师）的意见，确保审查结论正确。鼓励各地各部门主动咨询专家学者、第三方专业机构意见。实行公平竞争审查全过程记录，详细记录征求意见、初审、复审等各环节情况</w:t>
      </w:r>
      <w:r>
        <w:rPr>
          <w:rFonts w:hint="default" w:ascii="宋体" w:hAnsi="宋体" w:eastAsia="仿宋_GB2312" w:cs="仿宋_GB2312"/>
          <w:b w:val="0"/>
          <w:bCs/>
          <w:color w:val="000000"/>
          <w:sz w:val="32"/>
          <w:szCs w:val="32"/>
          <w:lang w:val="en-US" w:eastAsia="zh-CN"/>
        </w:rPr>
        <w:t>，</w:t>
      </w:r>
      <w:r>
        <w:rPr>
          <w:rFonts w:hint="eastAsia" w:ascii="宋体" w:hAnsi="宋体" w:eastAsia="仿宋_GB2312" w:cs="仿宋_GB2312"/>
          <w:b w:val="0"/>
          <w:bCs/>
          <w:color w:val="000000"/>
          <w:sz w:val="32"/>
          <w:szCs w:val="32"/>
          <w:lang w:val="en-US" w:eastAsia="zh-CN"/>
        </w:rPr>
        <w:t>做到审查意见结构统一、要素完整、结论正确、形式规范。适用例外情形的，应当说明理由，明确实施期限或终止条件。</w:t>
      </w:r>
    </w:p>
    <w:p w14:paraId="3BE7E4BA">
      <w:pPr>
        <w:keepNext w:val="0"/>
        <w:keepLines w:val="0"/>
        <w:pageBreakBefore w:val="0"/>
        <w:widowControl w:val="0"/>
        <w:kinsoku/>
        <w:wordWrap/>
        <w:overflowPunct/>
        <w:topLinePunct w:val="0"/>
        <w:autoSpaceDE/>
        <w:autoSpaceDN/>
        <w:bidi w:val="0"/>
        <w:adjustRightInd/>
        <w:snapToGrid/>
        <w:spacing w:beforeLines="0" w:afterLines="0" w:line="560" w:lineRule="exact"/>
        <w:ind w:firstLine="618" w:firstLineChars="200"/>
        <w:textAlignment w:val="auto"/>
        <w:rPr>
          <w:rFonts w:hint="eastAsia" w:ascii="宋体" w:hAnsi="宋体" w:eastAsia="仿宋_GB2312" w:cs="仿宋_GB2312"/>
          <w:b w:val="0"/>
          <w:bCs/>
          <w:color w:val="000000"/>
          <w:sz w:val="32"/>
          <w:szCs w:val="32"/>
          <w:lang w:val="en-US" w:eastAsia="zh-CN"/>
        </w:rPr>
      </w:pPr>
      <w:r>
        <w:rPr>
          <w:rFonts w:hint="eastAsia" w:ascii="宋体" w:hAnsi="宋体" w:eastAsia="仿宋_GB2312" w:cs="仿宋_GB2312"/>
          <w:b w:val="0"/>
          <w:bCs/>
          <w:color w:val="000000"/>
          <w:sz w:val="32"/>
          <w:szCs w:val="32"/>
          <w:lang w:val="en-US" w:eastAsia="zh-CN"/>
        </w:rPr>
        <w:t>5.重大政策措施会同审查。以县级以上人民政府（含办公室）出台或提请本级人民代表大会及其常务委员会审议的政策措施，按照起草部门初审+同级市场监管部门会同方式开展公平竞争审查。起草部门按照自我审查方式完成初审后，书面向同级市场监管部门提出会同审查。市场监管部门</w:t>
      </w:r>
      <w:r>
        <w:rPr>
          <w:rFonts w:hint="default" w:ascii="宋体" w:hAnsi="宋体" w:eastAsia="仿宋_GB2312" w:cs="仿宋_GB2312"/>
          <w:b w:val="0"/>
          <w:bCs/>
          <w:color w:val="000000"/>
          <w:sz w:val="32"/>
          <w:szCs w:val="32"/>
          <w:lang w:val="en-US" w:eastAsia="zh-CN"/>
        </w:rPr>
        <w:t>开展</w:t>
      </w:r>
      <w:r>
        <w:rPr>
          <w:rFonts w:hint="eastAsia" w:ascii="宋体" w:hAnsi="宋体" w:eastAsia="仿宋_GB2312" w:cs="仿宋_GB2312"/>
          <w:b w:val="0"/>
          <w:bCs/>
          <w:color w:val="000000"/>
          <w:sz w:val="32"/>
          <w:szCs w:val="32"/>
          <w:lang w:val="en-US" w:eastAsia="zh-CN"/>
        </w:rPr>
        <w:t>会同审查，一并对政策措施、初审程序、初审意见进行审查，确保审查程序合规、审查结论正确、审查意见规范</w:t>
      </w:r>
      <w:r>
        <w:rPr>
          <w:rFonts w:hint="default" w:ascii="宋体" w:hAnsi="宋体" w:eastAsia="仿宋_GB2312" w:cs="仿宋_GB2312"/>
          <w:b w:val="0"/>
          <w:bCs/>
          <w:color w:val="000000"/>
          <w:sz w:val="32"/>
          <w:szCs w:val="32"/>
          <w:lang w:val="en-US" w:eastAsia="zh-CN"/>
        </w:rPr>
        <w:t>。</w:t>
      </w:r>
    </w:p>
    <w:p w14:paraId="7066269B">
      <w:pPr>
        <w:keepNext w:val="0"/>
        <w:keepLines w:val="0"/>
        <w:pageBreakBefore w:val="0"/>
        <w:widowControl w:val="0"/>
        <w:kinsoku/>
        <w:wordWrap/>
        <w:overflowPunct/>
        <w:topLinePunct w:val="0"/>
        <w:autoSpaceDE/>
        <w:autoSpaceDN/>
        <w:bidi w:val="0"/>
        <w:adjustRightInd/>
        <w:snapToGrid/>
        <w:spacing w:beforeLines="0" w:afterLines="0" w:line="560" w:lineRule="exact"/>
        <w:ind w:firstLine="618" w:firstLineChars="200"/>
        <w:textAlignment w:val="auto"/>
        <w:rPr>
          <w:rFonts w:hint="eastAsia" w:ascii="宋体" w:hAnsi="宋体" w:eastAsia="仿宋_GB2312" w:cs="仿宋_GB2312"/>
          <w:b w:val="0"/>
          <w:bCs/>
          <w:color w:val="000000"/>
          <w:sz w:val="32"/>
          <w:szCs w:val="32"/>
          <w:lang w:val="en-US" w:eastAsia="zh-CN"/>
        </w:rPr>
      </w:pPr>
      <w:r>
        <w:rPr>
          <w:rFonts w:hint="eastAsia" w:ascii="宋体" w:hAnsi="宋体" w:eastAsia="仿宋_GB2312" w:cs="仿宋_GB2312"/>
          <w:b w:val="0"/>
          <w:bCs/>
          <w:color w:val="000000"/>
          <w:sz w:val="32"/>
          <w:szCs w:val="32"/>
          <w:lang w:val="en-US" w:eastAsia="zh-CN"/>
        </w:rPr>
        <w:t>6.争议政策措施联合审查。重大政策措施的初审意见与会审意见存在较大分歧，由本级市场监管部门召集政策措施起草部门、司法部门等有关部门进行联合审查，必要时可邀请专家学者、第三方机构、利害关系人等多方人士参加。会议商讨最终意见为联合审查结论。联合审查时间不计入重大政策措施会同审查时间。</w:t>
      </w:r>
    </w:p>
    <w:p w14:paraId="41075282">
      <w:pPr>
        <w:keepNext w:val="0"/>
        <w:keepLines w:val="0"/>
        <w:pageBreakBefore w:val="0"/>
        <w:widowControl w:val="0"/>
        <w:kinsoku/>
        <w:wordWrap/>
        <w:overflowPunct/>
        <w:topLinePunct w:val="0"/>
        <w:autoSpaceDE/>
        <w:autoSpaceDN/>
        <w:bidi w:val="0"/>
        <w:adjustRightInd/>
        <w:snapToGrid/>
        <w:spacing w:beforeLines="0" w:afterLines="0" w:line="560" w:lineRule="exact"/>
        <w:ind w:firstLine="618" w:firstLineChars="200"/>
        <w:textAlignment w:val="auto"/>
        <w:rPr>
          <w:rFonts w:hint="eastAsia" w:ascii="宋体" w:hAnsi="宋体" w:eastAsia="楷体_GB2312" w:cs="楷体_GB2312"/>
          <w:b w:val="0"/>
          <w:bCs/>
          <w:color w:val="000000"/>
          <w:sz w:val="32"/>
          <w:szCs w:val="32"/>
          <w:lang w:val="en-US" w:eastAsia="zh-CN"/>
        </w:rPr>
      </w:pPr>
      <w:r>
        <w:rPr>
          <w:rFonts w:hint="eastAsia" w:ascii="宋体" w:hAnsi="宋体" w:eastAsia="楷体_GB2312" w:cs="楷体_GB2312"/>
          <w:b w:val="0"/>
          <w:bCs/>
          <w:color w:val="000000"/>
          <w:sz w:val="32"/>
          <w:szCs w:val="32"/>
          <w:lang w:val="en-US" w:eastAsia="zh-CN"/>
        </w:rPr>
        <w:t>（三）夯实支撑平台</w:t>
      </w:r>
    </w:p>
    <w:p w14:paraId="129F29EB">
      <w:pPr>
        <w:keepNext w:val="0"/>
        <w:keepLines w:val="0"/>
        <w:pageBreakBefore w:val="0"/>
        <w:widowControl w:val="0"/>
        <w:kinsoku/>
        <w:wordWrap/>
        <w:overflowPunct/>
        <w:topLinePunct w:val="0"/>
        <w:autoSpaceDE/>
        <w:autoSpaceDN/>
        <w:bidi w:val="0"/>
        <w:adjustRightInd/>
        <w:snapToGrid/>
        <w:spacing w:beforeLines="0" w:afterLines="0" w:line="560" w:lineRule="exact"/>
        <w:ind w:firstLine="618" w:firstLineChars="200"/>
        <w:textAlignment w:val="auto"/>
        <w:rPr>
          <w:rFonts w:hint="eastAsia" w:ascii="宋体" w:hAnsi="宋体" w:eastAsia="仿宋_GB2312" w:cs="仿宋_GB2312"/>
          <w:b w:val="0"/>
          <w:bCs/>
          <w:color w:val="000000"/>
          <w:sz w:val="32"/>
          <w:szCs w:val="32"/>
          <w:lang w:val="en-US" w:eastAsia="zh-CN"/>
        </w:rPr>
      </w:pPr>
      <w:r>
        <w:rPr>
          <w:rFonts w:hint="eastAsia" w:ascii="宋体" w:hAnsi="宋体" w:eastAsia="仿宋_GB2312" w:cs="仿宋_GB2312"/>
          <w:b w:val="0"/>
          <w:bCs/>
          <w:color w:val="000000"/>
          <w:sz w:val="32"/>
          <w:szCs w:val="32"/>
          <w:lang w:val="en-US" w:eastAsia="zh-CN"/>
        </w:rPr>
        <w:t>7.夯实能力提升平台。定期组织开展公平竞争审查业务培训，采取邀请省内外专家学者理论授课、案例分析研讨等方式，不断提升公平竞争政策意识和审查业务水平。将公平竞争知识纳入党校学习内容，提升领导干部公平竞争意识。</w:t>
      </w:r>
    </w:p>
    <w:p w14:paraId="1DCA6D3C">
      <w:pPr>
        <w:keepNext w:val="0"/>
        <w:keepLines w:val="0"/>
        <w:pageBreakBefore w:val="0"/>
        <w:widowControl w:val="0"/>
        <w:kinsoku/>
        <w:wordWrap/>
        <w:overflowPunct/>
        <w:topLinePunct w:val="0"/>
        <w:autoSpaceDE/>
        <w:autoSpaceDN/>
        <w:bidi w:val="0"/>
        <w:adjustRightInd/>
        <w:snapToGrid/>
        <w:spacing w:beforeLines="0" w:afterLines="0" w:line="560" w:lineRule="exact"/>
        <w:ind w:firstLine="618" w:firstLineChars="200"/>
        <w:textAlignment w:val="auto"/>
        <w:rPr>
          <w:rFonts w:hint="eastAsia" w:ascii="宋体" w:hAnsi="宋体" w:eastAsia="仿宋_GB2312" w:cs="仿宋_GB2312"/>
          <w:b w:val="0"/>
          <w:bCs/>
          <w:color w:val="000000"/>
          <w:sz w:val="32"/>
          <w:szCs w:val="32"/>
          <w:lang w:val="en-US" w:eastAsia="zh-CN"/>
        </w:rPr>
      </w:pPr>
      <w:r>
        <w:rPr>
          <w:rFonts w:hint="eastAsia" w:ascii="宋体" w:hAnsi="宋体" w:eastAsia="仿宋_GB2312" w:cs="仿宋_GB2312"/>
          <w:b w:val="0"/>
          <w:bCs/>
          <w:color w:val="000000"/>
          <w:sz w:val="32"/>
          <w:szCs w:val="32"/>
          <w:lang w:val="en-US" w:eastAsia="zh-CN"/>
        </w:rPr>
        <w:t>8.夯实技术支撑平台。建立公平竞争审查专家库，吸收有关部门、高校学者、法律专业机构等专业人才为成员，为公平竞争审查提供意见咨询、课题研究、综合评估、宣传培训等专业化智库支持。引入信息化技术，采取“智能审查（智能巡检）+人工复核”相结合的方式，加强对网上公布的政策措施巡检力度，及时发现、消除竞争限制。</w:t>
      </w:r>
      <w:r>
        <w:rPr>
          <w:rFonts w:hint="default" w:ascii="宋体" w:hAnsi="宋体" w:eastAsia="仿宋_GB2312" w:cs="仿宋_GB2312"/>
          <w:b w:val="0"/>
          <w:bCs/>
          <w:color w:val="000000"/>
          <w:sz w:val="32"/>
          <w:szCs w:val="32"/>
          <w:lang w:val="en-US" w:eastAsia="zh-CN"/>
        </w:rPr>
        <w:t>鼓励</w:t>
      </w:r>
      <w:r>
        <w:rPr>
          <w:rFonts w:hint="eastAsia" w:ascii="宋体" w:hAnsi="宋体" w:eastAsia="仿宋_GB2312" w:cs="仿宋_GB2312"/>
          <w:b w:val="0"/>
          <w:bCs/>
          <w:color w:val="000000"/>
          <w:sz w:val="32"/>
          <w:szCs w:val="32"/>
          <w:lang w:val="en-US" w:eastAsia="zh-CN"/>
        </w:rPr>
        <w:t>引入第三方评估机制，对政策措施可能产生的竞争影响、实施后的竞争效果和本地区公平竞争审查制度实施情况等开展评估，为决策提供参考。</w:t>
      </w:r>
    </w:p>
    <w:p w14:paraId="3B1F9B99">
      <w:pPr>
        <w:keepNext w:val="0"/>
        <w:keepLines w:val="0"/>
        <w:pageBreakBefore w:val="0"/>
        <w:widowControl w:val="0"/>
        <w:kinsoku/>
        <w:wordWrap/>
        <w:overflowPunct/>
        <w:topLinePunct w:val="0"/>
        <w:autoSpaceDE/>
        <w:autoSpaceDN/>
        <w:bidi w:val="0"/>
        <w:adjustRightInd/>
        <w:snapToGrid/>
        <w:spacing w:beforeLines="0" w:afterLines="0" w:line="560" w:lineRule="exact"/>
        <w:ind w:firstLine="618" w:firstLineChars="200"/>
        <w:textAlignment w:val="auto"/>
        <w:rPr>
          <w:rFonts w:hint="eastAsia" w:ascii="宋体" w:hAnsi="宋体" w:eastAsia="楷体_GB2312" w:cs="楷体_GB2312"/>
          <w:b w:val="0"/>
          <w:bCs/>
          <w:color w:val="000000"/>
          <w:sz w:val="32"/>
          <w:szCs w:val="32"/>
          <w:lang w:val="en-US" w:eastAsia="zh-CN"/>
        </w:rPr>
      </w:pPr>
      <w:r>
        <w:rPr>
          <w:rFonts w:hint="eastAsia" w:ascii="宋体" w:hAnsi="宋体" w:eastAsia="仿宋_GB2312" w:cs="仿宋_GB2312"/>
          <w:b w:val="0"/>
          <w:bCs/>
          <w:color w:val="000000"/>
          <w:sz w:val="32"/>
          <w:szCs w:val="32"/>
          <w:lang w:val="en-US" w:eastAsia="zh-CN"/>
        </w:rPr>
        <w:t>9.夯实内外监督平台。加强舆论引导，加强公平竞争法律和政策宣传，培育竞争文化，让公平竞争理念深入人心，引导社会各方力量参与公平竞争审查工作，为构建统一开放、竞争有序的市场环境奠定坚实基础。组建公平竞争审查特约监督员队伍，聘请各类企业负责人、专家学者、人大代表、政协委员，对公平竞争审查落实情况进行监督。市县市场监管部门要完善公平竞争审查举报处理和回应机制，主动公开举报受理渠道，及时处理、回应举报，做到有诉必接、有诉必处、有诉必应。</w:t>
      </w:r>
    </w:p>
    <w:p w14:paraId="246DA181">
      <w:pPr>
        <w:keepNext w:val="0"/>
        <w:keepLines w:val="0"/>
        <w:pageBreakBefore w:val="0"/>
        <w:widowControl w:val="0"/>
        <w:kinsoku/>
        <w:wordWrap/>
        <w:overflowPunct/>
        <w:topLinePunct w:val="0"/>
        <w:autoSpaceDE/>
        <w:autoSpaceDN/>
        <w:bidi w:val="0"/>
        <w:adjustRightInd/>
        <w:snapToGrid/>
        <w:spacing w:beforeLines="0" w:afterLines="0" w:line="560" w:lineRule="exact"/>
        <w:ind w:firstLine="618" w:firstLineChars="200"/>
        <w:textAlignment w:val="auto"/>
        <w:rPr>
          <w:rFonts w:hint="eastAsia" w:ascii="宋体" w:hAnsi="宋体" w:eastAsia="楷体_GB2312" w:cs="楷体_GB2312"/>
          <w:b w:val="0"/>
          <w:bCs/>
          <w:color w:val="000000"/>
          <w:sz w:val="32"/>
          <w:szCs w:val="32"/>
          <w:lang w:val="en-US" w:eastAsia="zh-CN"/>
        </w:rPr>
      </w:pPr>
      <w:r>
        <w:rPr>
          <w:rFonts w:hint="eastAsia" w:ascii="宋体" w:hAnsi="宋体" w:eastAsia="楷体_GB2312" w:cs="楷体_GB2312"/>
          <w:b w:val="0"/>
          <w:bCs/>
          <w:color w:val="000000"/>
          <w:sz w:val="32"/>
          <w:szCs w:val="32"/>
          <w:lang w:val="en-US" w:eastAsia="zh-CN"/>
        </w:rPr>
        <w:t>（四）深化协同联动</w:t>
      </w:r>
    </w:p>
    <w:p w14:paraId="32D7D781">
      <w:pPr>
        <w:keepNext w:val="0"/>
        <w:keepLines w:val="0"/>
        <w:pageBreakBefore w:val="0"/>
        <w:widowControl w:val="0"/>
        <w:kinsoku/>
        <w:wordWrap/>
        <w:overflowPunct/>
        <w:topLinePunct w:val="0"/>
        <w:autoSpaceDE/>
        <w:autoSpaceDN/>
        <w:bidi w:val="0"/>
        <w:adjustRightInd/>
        <w:snapToGrid/>
        <w:spacing w:beforeLines="0" w:afterLines="0" w:line="560" w:lineRule="exact"/>
        <w:ind w:firstLine="618" w:firstLineChars="200"/>
        <w:textAlignment w:val="auto"/>
        <w:rPr>
          <w:rFonts w:hint="eastAsia" w:ascii="宋体" w:hAnsi="宋体" w:eastAsia="仿宋_GB2312" w:cs="仿宋_GB2312"/>
          <w:b w:val="0"/>
          <w:bCs/>
          <w:color w:val="000000"/>
          <w:sz w:val="32"/>
          <w:szCs w:val="32"/>
          <w:lang w:val="en-US" w:eastAsia="zh-CN"/>
        </w:rPr>
      </w:pPr>
      <w:r>
        <w:rPr>
          <w:rFonts w:hint="eastAsia" w:ascii="宋体" w:hAnsi="宋体" w:eastAsia="仿宋_GB2312" w:cs="仿宋_GB2312"/>
          <w:b w:val="0"/>
          <w:bCs/>
          <w:color w:val="000000"/>
          <w:sz w:val="32"/>
          <w:szCs w:val="32"/>
          <w:lang w:val="en-US" w:eastAsia="zh-CN"/>
        </w:rPr>
        <w:t>10.深化跨部门协同。加强市场监管与司法部门协作，通过信息共享和政策会商，实现公平竞争审查与合法性审查有效协同。加强市场监管与发改、财政、商务等部门协同，推动公平竞争审查与政府采购、招标投标、招商引资等业务融合。充分发挥相关部门的业务优势和职能作用，增强公平竞争审查的科学性和约束力，实现竞争政策和产业政策优势互补、有效协同。</w:t>
      </w:r>
    </w:p>
    <w:p w14:paraId="38E180A4">
      <w:pPr>
        <w:keepNext w:val="0"/>
        <w:keepLines w:val="0"/>
        <w:pageBreakBefore w:val="0"/>
        <w:widowControl w:val="0"/>
        <w:kinsoku/>
        <w:wordWrap/>
        <w:overflowPunct/>
        <w:topLinePunct w:val="0"/>
        <w:autoSpaceDE/>
        <w:autoSpaceDN/>
        <w:bidi w:val="0"/>
        <w:adjustRightInd/>
        <w:snapToGrid/>
        <w:spacing w:beforeLines="0" w:afterLines="0" w:line="560" w:lineRule="exact"/>
        <w:ind w:firstLine="618" w:firstLineChars="200"/>
        <w:textAlignment w:val="auto"/>
        <w:rPr>
          <w:rFonts w:hint="eastAsia" w:ascii="宋体" w:hAnsi="宋体" w:eastAsia="仿宋_GB2312" w:cs="仿宋_GB2312"/>
          <w:b w:val="0"/>
          <w:bCs/>
          <w:color w:val="000000"/>
          <w:sz w:val="32"/>
          <w:szCs w:val="32"/>
          <w:lang w:val="en-US" w:eastAsia="zh-CN"/>
        </w:rPr>
      </w:pPr>
      <w:r>
        <w:rPr>
          <w:rFonts w:hint="eastAsia" w:ascii="宋体" w:hAnsi="宋体" w:eastAsia="仿宋_GB2312" w:cs="仿宋_GB2312"/>
          <w:b w:val="0"/>
          <w:bCs/>
          <w:color w:val="000000"/>
          <w:sz w:val="32"/>
          <w:szCs w:val="32"/>
          <w:lang w:val="en-US" w:eastAsia="zh-CN"/>
        </w:rPr>
        <w:t>11.探索跨区域协同。对接深圳等发达地区以及省内周边地市，加强审查标准、审查机制、人才培养和监督保障方面的协调配合，提升公平竞争审查工作的协调性和一致性。</w:t>
      </w:r>
    </w:p>
    <w:p w14:paraId="2BFF0335">
      <w:pPr>
        <w:keepNext w:val="0"/>
        <w:keepLines w:val="0"/>
        <w:pageBreakBefore w:val="0"/>
        <w:widowControl w:val="0"/>
        <w:kinsoku/>
        <w:wordWrap/>
        <w:overflowPunct/>
        <w:topLinePunct w:val="0"/>
        <w:autoSpaceDE/>
        <w:autoSpaceDN/>
        <w:bidi w:val="0"/>
        <w:adjustRightInd/>
        <w:snapToGrid/>
        <w:spacing w:beforeLines="0" w:afterLines="0" w:line="560" w:lineRule="exact"/>
        <w:ind w:firstLine="618" w:firstLineChars="200"/>
        <w:textAlignment w:val="auto"/>
        <w:rPr>
          <w:rFonts w:hint="default" w:ascii="宋体" w:hAnsi="宋体" w:eastAsia="仿宋_GB2312" w:cs="仿宋_GB2312"/>
          <w:b w:val="0"/>
          <w:bCs/>
          <w:color w:val="000000"/>
          <w:sz w:val="32"/>
          <w:szCs w:val="32"/>
          <w:lang w:val="en-US" w:eastAsia="zh-CN"/>
        </w:rPr>
      </w:pPr>
      <w:r>
        <w:rPr>
          <w:rFonts w:hint="eastAsia" w:ascii="宋体" w:hAnsi="宋体" w:eastAsia="仿宋_GB2312" w:cs="仿宋_GB2312"/>
          <w:b w:val="0"/>
          <w:bCs/>
          <w:color w:val="000000"/>
          <w:sz w:val="32"/>
          <w:szCs w:val="32"/>
          <w:lang w:val="en-US" w:eastAsia="zh-CN"/>
        </w:rPr>
        <w:t>12.深化纵向协同。市直有关部门要按照部门对口、业务对口的原则，加强对县级部门的业务指导与监督，形成一级抓一级，层层抓落实的工作格局。</w:t>
      </w:r>
      <w:r>
        <w:rPr>
          <w:rFonts w:hint="default" w:ascii="宋体" w:hAnsi="宋体" w:eastAsia="仿宋_GB2312" w:cs="仿宋_GB2312"/>
          <w:b w:val="0"/>
          <w:bCs/>
          <w:color w:val="000000"/>
          <w:sz w:val="32"/>
          <w:szCs w:val="32"/>
          <w:lang w:val="en-US" w:eastAsia="zh-CN"/>
        </w:rPr>
        <w:t>重点加强县级</w:t>
      </w:r>
      <w:r>
        <w:rPr>
          <w:rFonts w:hint="eastAsia" w:ascii="宋体" w:hAnsi="宋体" w:eastAsia="仿宋_GB2312" w:cs="仿宋_GB2312"/>
          <w:b w:val="0"/>
          <w:bCs/>
          <w:color w:val="000000"/>
          <w:sz w:val="32"/>
          <w:szCs w:val="32"/>
          <w:lang w:val="en-US" w:eastAsia="zh-CN"/>
        </w:rPr>
        <w:t>重</w:t>
      </w:r>
      <w:r>
        <w:rPr>
          <w:rFonts w:hint="default" w:ascii="宋体" w:hAnsi="宋体" w:eastAsia="仿宋_GB2312" w:cs="仿宋_GB2312"/>
          <w:b w:val="0"/>
          <w:bCs/>
          <w:color w:val="000000"/>
          <w:sz w:val="32"/>
          <w:szCs w:val="32"/>
          <w:lang w:val="en-US" w:eastAsia="zh-CN"/>
        </w:rPr>
        <w:t>大政策措施</w:t>
      </w:r>
      <w:r>
        <w:rPr>
          <w:rFonts w:hint="eastAsia" w:ascii="宋体" w:hAnsi="宋体" w:eastAsia="仿宋_GB2312" w:cs="仿宋_GB2312"/>
          <w:b w:val="0"/>
          <w:bCs/>
          <w:color w:val="000000"/>
          <w:sz w:val="32"/>
          <w:szCs w:val="32"/>
          <w:lang w:val="en-US" w:eastAsia="zh-CN"/>
        </w:rPr>
        <w:t>公平竞争审查工作指导，及时发现和纠正不足，坚决防止</w:t>
      </w:r>
      <w:r>
        <w:rPr>
          <w:rFonts w:hint="default" w:ascii="宋体" w:hAnsi="宋体" w:eastAsia="仿宋_GB2312" w:cs="仿宋_GB2312"/>
          <w:b w:val="0"/>
          <w:bCs/>
          <w:color w:val="000000"/>
          <w:sz w:val="32"/>
          <w:szCs w:val="32"/>
          <w:lang w:val="en-US" w:eastAsia="zh-CN"/>
        </w:rPr>
        <w:t>重大政策措施会同审查</w:t>
      </w:r>
      <w:r>
        <w:rPr>
          <w:rFonts w:hint="eastAsia" w:ascii="宋体" w:hAnsi="宋体" w:eastAsia="仿宋_GB2312" w:cs="仿宋_GB2312"/>
          <w:b w:val="0"/>
          <w:bCs/>
          <w:color w:val="000000"/>
          <w:sz w:val="32"/>
          <w:szCs w:val="32"/>
          <w:lang w:val="en-US" w:eastAsia="zh-CN"/>
        </w:rPr>
        <w:t>“走过场”。建立妨碍公平竞争政策措施预警机制，对同一领域发生多起妨碍公平竞争问题，由市级行业主管部门组织开展全面清理排查、属地市场监管部门监督抽查，市市场监管部门跟踪督办，确保问题政策措施清理到位。</w:t>
      </w:r>
    </w:p>
    <w:p w14:paraId="62F17DE6">
      <w:pPr>
        <w:keepNext w:val="0"/>
        <w:keepLines w:val="0"/>
        <w:pageBreakBefore w:val="0"/>
        <w:widowControl w:val="0"/>
        <w:kinsoku/>
        <w:wordWrap/>
        <w:overflowPunct/>
        <w:topLinePunct w:val="0"/>
        <w:autoSpaceDE/>
        <w:autoSpaceDN/>
        <w:bidi w:val="0"/>
        <w:adjustRightInd/>
        <w:snapToGrid/>
        <w:spacing w:beforeLines="0" w:afterLines="0" w:line="560" w:lineRule="exact"/>
        <w:ind w:firstLine="618" w:firstLineChars="200"/>
        <w:textAlignment w:val="auto"/>
        <w:rPr>
          <w:rFonts w:hint="eastAsia" w:ascii="宋体" w:hAnsi="宋体" w:eastAsia="楷体_GB2312" w:cs="楷体_GB2312"/>
          <w:b w:val="0"/>
          <w:bCs/>
          <w:color w:val="000000"/>
          <w:sz w:val="32"/>
          <w:szCs w:val="32"/>
          <w:lang w:val="en-US" w:eastAsia="zh-CN"/>
        </w:rPr>
      </w:pPr>
      <w:r>
        <w:rPr>
          <w:rFonts w:hint="eastAsia" w:ascii="宋体" w:hAnsi="宋体" w:eastAsia="楷体_GB2312" w:cs="楷体_GB2312"/>
          <w:b w:val="0"/>
          <w:bCs/>
          <w:color w:val="000000"/>
          <w:sz w:val="32"/>
          <w:szCs w:val="32"/>
          <w:lang w:val="en-US" w:eastAsia="zh-CN"/>
        </w:rPr>
        <w:t>（五）强化监督保障</w:t>
      </w:r>
    </w:p>
    <w:p w14:paraId="4E605C3E">
      <w:pPr>
        <w:keepNext w:val="0"/>
        <w:keepLines w:val="0"/>
        <w:pageBreakBefore w:val="0"/>
        <w:widowControl w:val="0"/>
        <w:kinsoku/>
        <w:wordWrap/>
        <w:overflowPunct/>
        <w:topLinePunct w:val="0"/>
        <w:autoSpaceDE/>
        <w:autoSpaceDN/>
        <w:bidi w:val="0"/>
        <w:adjustRightInd/>
        <w:snapToGrid/>
        <w:spacing w:beforeLines="0" w:afterLines="0" w:line="560" w:lineRule="exact"/>
        <w:ind w:firstLine="618" w:firstLineChars="200"/>
        <w:textAlignment w:val="auto"/>
        <w:rPr>
          <w:rFonts w:hint="default" w:ascii="宋体" w:hAnsi="宋体" w:eastAsia="仿宋_GB2312" w:cs="仿宋_GB2312"/>
          <w:b w:val="0"/>
          <w:bCs/>
          <w:color w:val="000000"/>
          <w:sz w:val="32"/>
          <w:szCs w:val="32"/>
          <w:lang w:val="en-US" w:eastAsia="zh-CN"/>
        </w:rPr>
      </w:pPr>
      <w:r>
        <w:rPr>
          <w:rFonts w:hint="eastAsia" w:ascii="宋体" w:hAnsi="宋体" w:eastAsia="仿宋_GB2312" w:cs="仿宋_GB2312"/>
          <w:b w:val="0"/>
          <w:bCs/>
          <w:color w:val="000000"/>
          <w:sz w:val="32"/>
          <w:szCs w:val="32"/>
          <w:lang w:val="en-US" w:eastAsia="zh-CN"/>
        </w:rPr>
        <w:t>13.定期抽查。完善公平竞争审查抽查制度，市县市场监管部门定期组织开展抽查，重大问题可根据需要适时开展抽查。明确抽查重点，对经营者反映比较强烈、社会舆论普遍关注、社会公共利益影响较大、适用例外情形的政策措施进行重点抽查。</w:t>
      </w:r>
    </w:p>
    <w:p w14:paraId="6595878B">
      <w:pPr>
        <w:keepNext w:val="0"/>
        <w:keepLines w:val="0"/>
        <w:pageBreakBefore w:val="0"/>
        <w:widowControl w:val="0"/>
        <w:kinsoku/>
        <w:wordWrap/>
        <w:overflowPunct/>
        <w:topLinePunct w:val="0"/>
        <w:autoSpaceDE/>
        <w:autoSpaceDN/>
        <w:bidi w:val="0"/>
        <w:adjustRightInd/>
        <w:snapToGrid/>
        <w:spacing w:beforeLines="0" w:afterLines="0" w:line="560" w:lineRule="exact"/>
        <w:ind w:firstLine="618" w:firstLineChars="200"/>
        <w:textAlignment w:val="auto"/>
        <w:rPr>
          <w:rFonts w:hint="eastAsia" w:ascii="宋体" w:hAnsi="宋体" w:eastAsia="仿宋_GB2312" w:cs="仿宋_GB2312"/>
          <w:b w:val="0"/>
          <w:bCs/>
          <w:color w:val="000000"/>
          <w:sz w:val="32"/>
          <w:szCs w:val="32"/>
          <w:lang w:val="en-US" w:eastAsia="zh-CN"/>
        </w:rPr>
      </w:pPr>
      <w:r>
        <w:rPr>
          <w:rFonts w:hint="eastAsia" w:ascii="宋体" w:hAnsi="宋体" w:eastAsia="仿宋_GB2312" w:cs="仿宋_GB2312"/>
          <w:b w:val="0"/>
          <w:bCs/>
          <w:color w:val="000000"/>
          <w:sz w:val="32"/>
          <w:szCs w:val="32"/>
          <w:lang w:val="en-US" w:eastAsia="zh-CN"/>
        </w:rPr>
        <w:t>14.定期评估。各地各部门定期对落实公平竞争审查制度情况进行梳理总结，定期评估政策措施对公平竞争的影响，重点评估适用例外规定的政策措施，及时清理妨碍建设统一市场和公平竞争的各种规定和做法。</w:t>
      </w:r>
    </w:p>
    <w:p w14:paraId="454F6E12">
      <w:pPr>
        <w:keepNext w:val="0"/>
        <w:keepLines w:val="0"/>
        <w:pageBreakBefore w:val="0"/>
        <w:widowControl w:val="0"/>
        <w:kinsoku/>
        <w:wordWrap/>
        <w:overflowPunct/>
        <w:topLinePunct w:val="0"/>
        <w:autoSpaceDE/>
        <w:autoSpaceDN/>
        <w:bidi w:val="0"/>
        <w:adjustRightInd/>
        <w:snapToGrid/>
        <w:spacing w:beforeLines="0" w:afterLines="0" w:line="560" w:lineRule="exact"/>
        <w:ind w:firstLine="618" w:firstLineChars="200"/>
        <w:textAlignment w:val="auto"/>
        <w:rPr>
          <w:rFonts w:hint="eastAsia" w:ascii="宋体" w:hAnsi="宋体" w:eastAsia="国标黑体-GB/T 2312" w:cs="国标黑体-GB/T 2312"/>
          <w:b w:val="0"/>
          <w:bCs/>
          <w:color w:val="000000"/>
          <w:sz w:val="32"/>
          <w:szCs w:val="32"/>
          <w:lang w:val="en-US" w:eastAsia="zh-CN"/>
        </w:rPr>
      </w:pPr>
      <w:r>
        <w:rPr>
          <w:rFonts w:hint="eastAsia" w:ascii="宋体" w:hAnsi="宋体" w:eastAsia="国标黑体-GB/T 2312" w:cs="国标黑体-GB/T 2312"/>
          <w:b w:val="0"/>
          <w:bCs/>
          <w:color w:val="000000"/>
          <w:sz w:val="32"/>
          <w:szCs w:val="32"/>
          <w:lang w:val="en-US" w:eastAsia="zh-CN"/>
        </w:rPr>
        <w:t>四、组织保障</w:t>
      </w:r>
    </w:p>
    <w:p w14:paraId="554AFA87">
      <w:pPr>
        <w:keepNext w:val="0"/>
        <w:keepLines w:val="0"/>
        <w:pageBreakBefore w:val="0"/>
        <w:widowControl w:val="0"/>
        <w:kinsoku/>
        <w:wordWrap/>
        <w:overflowPunct/>
        <w:topLinePunct w:val="0"/>
        <w:autoSpaceDE/>
        <w:autoSpaceDN/>
        <w:bidi w:val="0"/>
        <w:adjustRightInd/>
        <w:snapToGrid/>
        <w:spacing w:beforeLines="0" w:afterLines="0" w:line="560" w:lineRule="exact"/>
        <w:ind w:firstLine="618" w:firstLineChars="200"/>
        <w:textAlignment w:val="auto"/>
        <w:rPr>
          <w:rFonts w:hint="eastAsia" w:ascii="宋体" w:hAnsi="宋体" w:eastAsia="仿宋_GB2312" w:cs="仿宋_GB2312"/>
          <w:b w:val="0"/>
          <w:bCs/>
          <w:color w:val="000000"/>
          <w:sz w:val="32"/>
          <w:szCs w:val="32"/>
          <w:lang w:val="en-US" w:eastAsia="zh-CN"/>
        </w:rPr>
      </w:pPr>
      <w:r>
        <w:rPr>
          <w:rFonts w:hint="eastAsia" w:ascii="宋体" w:hAnsi="宋体" w:eastAsia="仿宋_GB2312" w:cs="仿宋_GB2312"/>
          <w:b w:val="0"/>
          <w:bCs/>
          <w:color w:val="000000"/>
          <w:sz w:val="32"/>
          <w:szCs w:val="32"/>
          <w:lang w:val="en-US" w:eastAsia="zh-CN"/>
        </w:rPr>
        <w:t>市县建立公平竞争审查工作局际联席会议机制，由市场监管局主要负责同志任召集人，市场监管局分管负责同志任副召集人，政府办公室、发展改革委、财政局、教育局、科技局、工业和信息化局、公安局、民政局、司法局、人力资源社会保障局、自然资源局、生态环境局、住建局、交通运输局、水利局、农业农村局、商务局、文广旅局、卫生健康委、市场监管局、应急管理局、林业局、医保局、城管局、行政审批局、国资委等分管负责同志为成员（根据工作需要成员单位可相应增加）。联席会议机制办公室设在市场监管局，具体负责日常事务。市场监管局、政府办公室、司法局、发展改革委、财政局、商务局为办公室成员单位，协同推动公平竞争审查制度有效实施。</w:t>
      </w:r>
    </w:p>
    <w:p w14:paraId="7AA7EF63">
      <w:pPr>
        <w:keepNext w:val="0"/>
        <w:keepLines w:val="0"/>
        <w:pageBreakBefore w:val="0"/>
        <w:widowControl w:val="0"/>
        <w:kinsoku/>
        <w:wordWrap/>
        <w:overflowPunct/>
        <w:topLinePunct w:val="0"/>
        <w:autoSpaceDE/>
        <w:autoSpaceDN/>
        <w:bidi w:val="0"/>
        <w:adjustRightInd/>
        <w:snapToGrid/>
        <w:spacing w:beforeLines="0" w:afterLines="0" w:line="560" w:lineRule="exact"/>
        <w:ind w:firstLine="0" w:firstLineChars="0"/>
        <w:textAlignment w:val="auto"/>
        <w:rPr>
          <w:rFonts w:hint="eastAsia" w:ascii="宋体" w:hAnsi="宋体" w:eastAsia="仿宋_GB2312" w:cs="仿宋_GB2312"/>
          <w:b w:val="0"/>
          <w:bCs/>
          <w:color w:val="000000"/>
          <w:sz w:val="32"/>
          <w:szCs w:val="32"/>
          <w:lang w:val="en-US"/>
        </w:rPr>
      </w:pPr>
    </w:p>
    <w:p w14:paraId="3FBCFAF0">
      <w:pPr>
        <w:rPr>
          <w:rFonts w:hint="eastAsia" w:ascii="宋体" w:hAnsi="宋体" w:eastAsia="黑体" w:cs="黑体"/>
          <w:b w:val="0"/>
          <w:bCs/>
          <w:lang w:eastAsia="zh-CN"/>
        </w:rPr>
      </w:pPr>
    </w:p>
    <w:tbl>
      <w:tblPr>
        <w:tblStyle w:val="18"/>
        <w:tblpPr w:leftFromText="180" w:rightFromText="180" w:vertAnchor="text" w:horzAnchor="page" w:tblpX="1757" w:tblpY="284"/>
        <w:tblOverlap w:val="never"/>
        <w:tblW w:w="8845" w:type="dxa"/>
        <w:tblInd w:w="0" w:type="dxa"/>
        <w:tblBorders>
          <w:top w:val="single" w:color="auto" w:sz="8" w:space="0"/>
          <w:left w:val="none" w:color="auto" w:sz="0" w:space="0"/>
          <w:bottom w:val="single" w:color="auto" w:sz="8" w:space="0"/>
          <w:right w:val="none" w:color="auto" w:sz="0" w:space="0"/>
          <w:insideH w:val="single" w:color="auto" w:sz="4" w:space="0"/>
          <w:insideV w:val="single" w:color="auto" w:sz="8" w:space="0"/>
        </w:tblBorders>
        <w:tblLayout w:type="autofit"/>
        <w:tblCellMar>
          <w:top w:w="0" w:type="dxa"/>
          <w:left w:w="108" w:type="dxa"/>
          <w:bottom w:w="0" w:type="dxa"/>
          <w:right w:w="108" w:type="dxa"/>
        </w:tblCellMar>
      </w:tblPr>
      <w:tblGrid>
        <w:gridCol w:w="8845"/>
      </w:tblGrid>
      <w:tr w14:paraId="087F67D5">
        <w:tblPrEx>
          <w:tblBorders>
            <w:top w:val="single" w:color="auto" w:sz="8" w:space="0"/>
            <w:left w:val="none" w:color="auto" w:sz="0" w:space="0"/>
            <w:bottom w:val="single" w:color="auto" w:sz="8"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1254" w:hRule="atLeast"/>
        </w:trPr>
        <w:tc>
          <w:tcPr>
            <w:tcW w:w="8845" w:type="dxa"/>
            <w:tcBorders>
              <w:top w:val="single" w:color="auto" w:sz="8" w:space="0"/>
              <w:left w:val="nil"/>
              <w:bottom w:val="single" w:color="auto" w:sz="4" w:space="0"/>
              <w:right w:val="nil"/>
            </w:tcBorders>
            <w:noWrap w:val="0"/>
            <w:vAlign w:val="center"/>
          </w:tcPr>
          <w:p w14:paraId="0EA5A502">
            <w:pPr>
              <w:spacing w:line="400" w:lineRule="exact"/>
              <w:ind w:left="1057" w:leftChars="134" w:right="149" w:rightChars="75" w:hanging="791" w:hangingChars="294"/>
              <w:rPr>
                <w:rFonts w:ascii="宋体" w:hAnsi="宋体" w:eastAsia="仿宋_GB2312"/>
                <w:sz w:val="28"/>
                <w:szCs w:val="28"/>
              </w:rPr>
            </w:pPr>
            <w:r>
              <w:rPr>
                <w:rFonts w:hint="eastAsia" w:ascii="宋体" w:hAnsi="宋体" w:eastAsia="仿宋_GB2312"/>
                <w:sz w:val="28"/>
                <w:szCs w:val="28"/>
              </w:rPr>
              <w:t>抄送：市委办公室，</w:t>
            </w:r>
            <w:r>
              <w:rPr>
                <w:rFonts w:hint="eastAsia" w:ascii="宋体" w:hAnsi="宋体" w:eastAsia="仿宋_GB2312"/>
                <w:spacing w:val="-4"/>
                <w:sz w:val="28"/>
                <w:szCs w:val="28"/>
              </w:rPr>
              <w:t>市纪委办公室，市人大常委会办公室，市政协办公室，赣州军分区，市委各部门，市中级法院，市检察院，群众团体，新闻单位。</w:t>
            </w:r>
          </w:p>
        </w:tc>
      </w:tr>
      <w:tr w14:paraId="20AE00E1">
        <w:tblPrEx>
          <w:tblBorders>
            <w:top w:val="single" w:color="auto" w:sz="8" w:space="0"/>
            <w:left w:val="none" w:color="auto" w:sz="0" w:space="0"/>
            <w:bottom w:val="single" w:color="auto" w:sz="8" w:space="0"/>
            <w:right w:val="none" w:color="auto" w:sz="0" w:space="0"/>
            <w:insideH w:val="single" w:color="auto" w:sz="4" w:space="0"/>
            <w:insideV w:val="single" w:color="auto" w:sz="8" w:space="0"/>
          </w:tblBorders>
          <w:tblCellMar>
            <w:top w:w="0" w:type="dxa"/>
            <w:left w:w="108" w:type="dxa"/>
            <w:bottom w:w="0" w:type="dxa"/>
            <w:right w:w="108" w:type="dxa"/>
          </w:tblCellMar>
        </w:tblPrEx>
        <w:trPr>
          <w:trHeight w:val="567" w:hRule="atLeast"/>
        </w:trPr>
        <w:tc>
          <w:tcPr>
            <w:tcW w:w="8845" w:type="dxa"/>
            <w:tcBorders>
              <w:top w:val="single" w:color="auto" w:sz="4" w:space="0"/>
              <w:left w:val="nil"/>
              <w:bottom w:val="single" w:color="auto" w:sz="8" w:space="0"/>
              <w:right w:val="nil"/>
            </w:tcBorders>
            <w:noWrap w:val="0"/>
            <w:vAlign w:val="center"/>
          </w:tcPr>
          <w:p w14:paraId="3FC092D7">
            <w:pPr>
              <w:spacing w:line="400" w:lineRule="exact"/>
              <w:ind w:right="206" w:rightChars="104" w:firstLine="269" w:firstLineChars="100"/>
              <w:rPr>
                <w:rFonts w:ascii="宋体" w:hAnsi="宋体" w:eastAsia="仿宋_GB2312"/>
                <w:sz w:val="28"/>
                <w:szCs w:val="28"/>
              </w:rPr>
            </w:pPr>
            <w:r>
              <w:rPr>
                <w:rFonts w:hint="eastAsia" w:ascii="宋体" w:hAnsi="宋体" w:eastAsia="仿宋_GB2312"/>
                <w:sz w:val="28"/>
                <w:szCs w:val="28"/>
              </w:rPr>
              <w:t>赣州市人民政府办公室秘书科                202</w:t>
            </w:r>
            <w:r>
              <w:rPr>
                <w:rFonts w:hint="eastAsia" w:ascii="宋体" w:hAnsi="宋体" w:eastAsia="仿宋_GB2312"/>
                <w:sz w:val="28"/>
                <w:szCs w:val="28"/>
                <w:lang w:val="en-US" w:eastAsia="zh-CN"/>
              </w:rPr>
              <w:t>5</w:t>
            </w:r>
            <w:r>
              <w:rPr>
                <w:rFonts w:hint="eastAsia" w:ascii="宋体" w:hAnsi="宋体" w:eastAsia="仿宋_GB2312"/>
                <w:sz w:val="28"/>
                <w:szCs w:val="28"/>
              </w:rPr>
              <w:t>年</w:t>
            </w:r>
            <w:r>
              <w:rPr>
                <w:rFonts w:hint="eastAsia" w:ascii="宋体" w:hAnsi="宋体" w:eastAsia="仿宋_GB2312"/>
                <w:sz w:val="28"/>
                <w:szCs w:val="28"/>
                <w:lang w:val="en-US" w:eastAsia="zh-CN"/>
              </w:rPr>
              <w:t>5</w:t>
            </w:r>
            <w:r>
              <w:rPr>
                <w:rFonts w:hint="eastAsia" w:ascii="宋体" w:hAnsi="宋体" w:eastAsia="仿宋_GB2312"/>
                <w:sz w:val="28"/>
                <w:szCs w:val="28"/>
              </w:rPr>
              <w:t>月</w:t>
            </w:r>
            <w:r>
              <w:rPr>
                <w:rFonts w:hint="default" w:ascii="宋体" w:hAnsi="宋体" w:eastAsia="仿宋_GB2312"/>
                <w:sz w:val="28"/>
                <w:szCs w:val="28"/>
                <w:lang w:val="en" w:eastAsia="zh-CN"/>
              </w:rPr>
              <w:t>19</w:t>
            </w:r>
            <w:r>
              <w:rPr>
                <w:rFonts w:hint="eastAsia" w:ascii="宋体" w:hAnsi="宋体" w:eastAsia="仿宋_GB2312"/>
                <w:sz w:val="28"/>
                <w:szCs w:val="28"/>
              </w:rPr>
              <w:t>日印发</w:t>
            </w:r>
          </w:p>
        </w:tc>
      </w:tr>
    </w:tbl>
    <w:p w14:paraId="030DB1C1">
      <w:pPr>
        <w:pStyle w:val="14"/>
        <w:keepNext w:val="0"/>
        <w:keepLines w:val="0"/>
        <w:pageBreakBefore w:val="0"/>
        <w:widowControl w:val="0"/>
        <w:suppressLineNumbers w:val="0"/>
        <w:kinsoku/>
        <w:wordWrap/>
        <w:overflowPunct/>
        <w:topLinePunct w:val="0"/>
        <w:autoSpaceDE/>
        <w:autoSpaceDN/>
        <w:bidi w:val="0"/>
        <w:adjustRightInd/>
        <w:snapToGrid/>
        <w:spacing w:line="20" w:lineRule="exact"/>
        <w:jc w:val="both"/>
        <w:textAlignment w:val="auto"/>
        <w:rPr>
          <w:rFonts w:hint="default" w:ascii="宋体" w:hAnsi="宋体"/>
          <w:b w:val="0"/>
          <w:bCs w:val="0"/>
          <w:lang w:val="en-US"/>
        </w:rPr>
      </w:pPr>
    </w:p>
    <w:p w14:paraId="78F03B6B">
      <w:pPr>
        <w:keepNext w:val="0"/>
        <w:keepLines w:val="0"/>
        <w:pageBreakBefore w:val="0"/>
        <w:widowControl w:val="0"/>
        <w:wordWrap/>
        <w:overflowPunct/>
        <w:topLinePunct w:val="0"/>
        <w:bidi w:val="0"/>
        <w:adjustRightInd/>
        <w:spacing w:line="20" w:lineRule="exact"/>
        <w:jc w:val="center"/>
        <w:rPr>
          <w:rFonts w:hint="eastAsia" w:ascii="宋体" w:hAnsi="宋体"/>
          <w:b w:val="0"/>
          <w:bCs w:val="0"/>
        </w:rPr>
      </w:pPr>
    </w:p>
    <w:sectPr>
      <w:pgSz w:w="11906" w:h="16838"/>
      <w:pgMar w:top="2098" w:right="1587" w:bottom="2098" w:left="1587" w:header="851" w:footer="1701" w:gutter="0"/>
      <w:paperSrc/>
      <w:cols w:space="720" w:num="1"/>
      <w:rtlGutter w:val="0"/>
      <w:docGrid w:type="linesAndChars" w:linePitch="574" w:charSpace="-237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764C913-B0FF-490E-B2F0-9B62F85E139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E0000" w:usb2="00000000" w:usb3="00000000" w:csb0="00040000" w:csb1="00000000"/>
    <w:embedRegular r:id="rId2" w:fontKey="{7DA8E16F-3321-4714-850B-DA35647E6E31}"/>
  </w:font>
  <w:font w:name="仿宋_GB2312">
    <w:panose1 w:val="02010609030101010101"/>
    <w:charset w:val="86"/>
    <w:family w:val="modern"/>
    <w:pitch w:val="default"/>
    <w:sig w:usb0="00000001" w:usb1="080E0000" w:usb2="00000000" w:usb3="00000000" w:csb0="00040000" w:csb1="00000000"/>
    <w:embedRegular r:id="rId3" w:fontKey="{2A650B23-5CA3-4BDA-869C-4D0DF64DEE83}"/>
  </w:font>
  <w:font w:name="Arial">
    <w:panose1 w:val="020B0604020202020204"/>
    <w:charset w:val="00"/>
    <w:family w:val="swiss"/>
    <w:pitch w:val="default"/>
    <w:sig w:usb0="E0002EFF" w:usb1="C000785B" w:usb2="00000009" w:usb3="00000000" w:csb0="400001FF" w:csb1="FFFF0000"/>
  </w:font>
  <w:font w:name="_x000B__x000C_">
    <w:altName w:val="华文中宋"/>
    <w:panose1 w:val="00000000000000000000"/>
    <w:charset w:val="00"/>
    <w:family w:val="roman"/>
    <w:pitch w:val="default"/>
    <w:sig w:usb0="00000000" w:usb1="00000000" w:usb2="00000000" w:usb3="00000000" w:csb0="000400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 w:name="方正小标宋_GBK">
    <w:altName w:val="Arial Unicode MS"/>
    <w:panose1 w:val="02000000000000000000"/>
    <w:charset w:val="86"/>
    <w:family w:val="auto"/>
    <w:pitch w:val="default"/>
    <w:sig w:usb0="00000001" w:usb1="08000000" w:usb2="00000000" w:usb3="00000000" w:csb0="00040000" w:csb1="00000000"/>
    <w:embedRegular r:id="rId4" w:fontKey="{DA8F0C78-F5A3-444B-9642-043153E7A376}"/>
  </w:font>
  <w:font w:name="国标仿宋-GB/T 2312">
    <w:altName w:val="仿宋"/>
    <w:panose1 w:val="02000500000000000000"/>
    <w:charset w:val="86"/>
    <w:family w:val="auto"/>
    <w:pitch w:val="default"/>
    <w:sig w:usb0="00000000" w:usb1="00000000" w:usb2="00000010" w:usb3="00000000" w:csb0="00040000" w:csb1="00000000"/>
    <w:embedRegular r:id="rId5" w:fontKey="{C3DE603B-FBD7-414A-9E59-E438CFD5D492}"/>
  </w:font>
  <w:font w:name="楷体_GB2312">
    <w:altName w:val="楷体"/>
    <w:panose1 w:val="02010609030101010101"/>
    <w:charset w:val="86"/>
    <w:family w:val="auto"/>
    <w:pitch w:val="default"/>
    <w:sig w:usb0="00000001" w:usb1="080E0000" w:usb2="00000000" w:usb3="00000000" w:csb0="00040000" w:csb1="00000000"/>
    <w:embedRegular r:id="rId6" w:fontKey="{D0E187A2-1BDE-4090-A081-85CAC77D067D}"/>
  </w:font>
  <w:font w:name="国标黑体-GB/T 2312">
    <w:altName w:val="黑体"/>
    <w:panose1 w:val="02000500000000000000"/>
    <w:charset w:val="86"/>
    <w:family w:val="auto"/>
    <w:pitch w:val="default"/>
    <w:sig w:usb0="00000000" w:usb1="00000000" w:usb2="00000000" w:usb3="00000000" w:csb0="00040000" w:csb1="00000000"/>
    <w:embedRegular r:id="rId7" w:fontKey="{D9EE96FF-4D4F-4C0D-AA65-360669BE2726}"/>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D4EC69">
    <w:pPr>
      <w:pStyle w:val="1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15E482D">
                          <w:pPr>
                            <w:pStyle w:val="10"/>
                            <w:ind w:right="315" w:rightChars="150" w:firstLine="319" w:firstLineChars="114"/>
                            <w:rPr>
                              <w:rStyle w:val="22"/>
                              <w:rFonts w:hint="eastAsia"/>
                              <w:sz w:val="28"/>
                              <w:szCs w:val="28"/>
                            </w:rPr>
                          </w:pPr>
                          <w:r>
                            <w:rPr>
                              <w:rStyle w:val="22"/>
                              <w:rFonts w:hint="eastAsia"/>
                              <w:sz w:val="28"/>
                              <w:szCs w:val="28"/>
                            </w:rPr>
                            <w:t>—　</w:t>
                          </w:r>
                          <w:r>
                            <w:rPr>
                              <w:rStyle w:val="22"/>
                              <w:rFonts w:ascii="宋体" w:hAnsi="宋体"/>
                              <w:sz w:val="28"/>
                              <w:szCs w:val="28"/>
                            </w:rPr>
                            <w:fldChar w:fldCharType="begin"/>
                          </w:r>
                          <w:r>
                            <w:rPr>
                              <w:rStyle w:val="22"/>
                              <w:rFonts w:ascii="宋体" w:hAnsi="宋体"/>
                              <w:sz w:val="28"/>
                              <w:szCs w:val="28"/>
                            </w:rPr>
                            <w:instrText xml:space="preserve">PAGE  </w:instrText>
                          </w:r>
                          <w:r>
                            <w:rPr>
                              <w:rStyle w:val="22"/>
                              <w:rFonts w:ascii="宋体" w:hAnsi="宋体"/>
                              <w:sz w:val="28"/>
                              <w:szCs w:val="28"/>
                            </w:rPr>
                            <w:fldChar w:fldCharType="separate"/>
                          </w:r>
                          <w:r>
                            <w:rPr>
                              <w:rStyle w:val="22"/>
                              <w:rFonts w:ascii="宋体" w:hAnsi="宋体"/>
                              <w:sz w:val="28"/>
                              <w:szCs w:val="28"/>
                              <w:lang/>
                            </w:rPr>
                            <w:t>10</w:t>
                          </w:r>
                          <w:r>
                            <w:rPr>
                              <w:rStyle w:val="22"/>
                              <w:rFonts w:ascii="宋体" w:hAnsi="宋体"/>
                              <w:sz w:val="28"/>
                              <w:szCs w:val="28"/>
                            </w:rPr>
                            <w:fldChar w:fldCharType="end"/>
                          </w:r>
                          <w:r>
                            <w:rPr>
                              <w:rStyle w:val="22"/>
                              <w:rFonts w:hint="eastAsia"/>
                              <w:sz w:val="28"/>
                              <w:szCs w:val="28"/>
                            </w:rPr>
                            <w:t>　—</w:t>
                          </w:r>
                        </w:p>
                        <w:p w14:paraId="650D7154">
                          <w:pPr>
                            <w:rPr>
                              <w:rFonts w:hint="eastAsia"/>
                              <w:szCs w:val="28"/>
                            </w:rPr>
                          </w:pPr>
                        </w:p>
                      </w:txbxContent>
                    </wps:txbx>
                    <wps:bodyPr vert="horz" wrap="none" lIns="0" tIns="0" rIns="0" bIns="0" anchor="t" anchorCtr="0" upright="0">
                      <a:spAutoFit/>
                    </wps:bodyPr>
                  </wps:wsp>
                </a:graphicData>
              </a:graphic>
            </wp:anchor>
          </w:drawing>
        </mc:Choice>
        <mc:Fallback>
          <w:pict>
            <v:shape id="文本框 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DOKJki3gEAAL4DAAAOAAAAAAAA&#10;AAEAIAAAAB4BAABkcnMvZTJvRG9jLnhtbFBLBQYAAAAABgAGAFkBAABuBQAAAAA=&#10;">
              <v:fill on="f" focussize="0,0"/>
              <v:stroke on="f"/>
              <v:imagedata o:title=""/>
              <o:lock v:ext="edit" aspectratio="f"/>
              <v:textbox inset="0mm,0mm,0mm,0mm" style="mso-fit-shape-to-text:t;">
                <w:txbxContent>
                  <w:p w14:paraId="515E482D">
                    <w:pPr>
                      <w:pStyle w:val="10"/>
                      <w:ind w:right="315" w:rightChars="150" w:firstLine="319" w:firstLineChars="114"/>
                      <w:rPr>
                        <w:rStyle w:val="22"/>
                        <w:rFonts w:hint="eastAsia"/>
                        <w:sz w:val="28"/>
                        <w:szCs w:val="28"/>
                      </w:rPr>
                    </w:pPr>
                    <w:r>
                      <w:rPr>
                        <w:rStyle w:val="22"/>
                        <w:rFonts w:hint="eastAsia"/>
                        <w:sz w:val="28"/>
                        <w:szCs w:val="28"/>
                      </w:rPr>
                      <w:t>—　</w:t>
                    </w:r>
                    <w:r>
                      <w:rPr>
                        <w:rStyle w:val="22"/>
                        <w:rFonts w:ascii="宋体" w:hAnsi="宋体"/>
                        <w:sz w:val="28"/>
                        <w:szCs w:val="28"/>
                      </w:rPr>
                      <w:fldChar w:fldCharType="begin"/>
                    </w:r>
                    <w:r>
                      <w:rPr>
                        <w:rStyle w:val="22"/>
                        <w:rFonts w:ascii="宋体" w:hAnsi="宋体"/>
                        <w:sz w:val="28"/>
                        <w:szCs w:val="28"/>
                      </w:rPr>
                      <w:instrText xml:space="preserve">PAGE  </w:instrText>
                    </w:r>
                    <w:r>
                      <w:rPr>
                        <w:rStyle w:val="22"/>
                        <w:rFonts w:ascii="宋体" w:hAnsi="宋体"/>
                        <w:sz w:val="28"/>
                        <w:szCs w:val="28"/>
                      </w:rPr>
                      <w:fldChar w:fldCharType="separate"/>
                    </w:r>
                    <w:r>
                      <w:rPr>
                        <w:rStyle w:val="22"/>
                        <w:rFonts w:ascii="宋体" w:hAnsi="宋体"/>
                        <w:sz w:val="28"/>
                        <w:szCs w:val="28"/>
                        <w:lang/>
                      </w:rPr>
                      <w:t>10</w:t>
                    </w:r>
                    <w:r>
                      <w:rPr>
                        <w:rStyle w:val="22"/>
                        <w:rFonts w:ascii="宋体" w:hAnsi="宋体"/>
                        <w:sz w:val="28"/>
                        <w:szCs w:val="28"/>
                      </w:rPr>
                      <w:fldChar w:fldCharType="end"/>
                    </w:r>
                    <w:r>
                      <w:rPr>
                        <w:rStyle w:val="22"/>
                        <w:rFonts w:hint="eastAsia"/>
                        <w:sz w:val="28"/>
                        <w:szCs w:val="28"/>
                      </w:rPr>
                      <w:t>　—</w:t>
                    </w:r>
                  </w:p>
                  <w:p w14:paraId="650D7154">
                    <w:pPr>
                      <w:rPr>
                        <w:rFonts w:hint="eastAsia"/>
                        <w:szCs w:val="28"/>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749959">
    <w:pPr>
      <w:pStyle w:val="11"/>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drawingGridHorizontalSpacing w:val="99"/>
  <w:drawingGridVerticalSpacing w:val="287"/>
  <w:displayHorizontalDrawingGridEvery w:val="2"/>
  <w:displayVerticalDrawingGridEvery w:val="2"/>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3C36"/>
    <w:rsid w:val="0000205D"/>
    <w:rsid w:val="00014FFE"/>
    <w:rsid w:val="0001767C"/>
    <w:rsid w:val="0002162C"/>
    <w:rsid w:val="00052083"/>
    <w:rsid w:val="00057F86"/>
    <w:rsid w:val="00071E53"/>
    <w:rsid w:val="000C5899"/>
    <w:rsid w:val="000E307F"/>
    <w:rsid w:val="00104830"/>
    <w:rsid w:val="00111571"/>
    <w:rsid w:val="00114881"/>
    <w:rsid w:val="001459EC"/>
    <w:rsid w:val="00146304"/>
    <w:rsid w:val="001613EC"/>
    <w:rsid w:val="00163CCA"/>
    <w:rsid w:val="001744A2"/>
    <w:rsid w:val="00184053"/>
    <w:rsid w:val="001B05CF"/>
    <w:rsid w:val="001B0C3E"/>
    <w:rsid w:val="001B65BA"/>
    <w:rsid w:val="001B6874"/>
    <w:rsid w:val="001B74B6"/>
    <w:rsid w:val="001C4C3E"/>
    <w:rsid w:val="001C5ACE"/>
    <w:rsid w:val="001D3CC3"/>
    <w:rsid w:val="001E107C"/>
    <w:rsid w:val="001E43B1"/>
    <w:rsid w:val="001E7608"/>
    <w:rsid w:val="0021039C"/>
    <w:rsid w:val="0021267E"/>
    <w:rsid w:val="00214C33"/>
    <w:rsid w:val="00223BD2"/>
    <w:rsid w:val="0022435C"/>
    <w:rsid w:val="00241D64"/>
    <w:rsid w:val="002551C6"/>
    <w:rsid w:val="00264847"/>
    <w:rsid w:val="00281A05"/>
    <w:rsid w:val="00287B08"/>
    <w:rsid w:val="002915F8"/>
    <w:rsid w:val="00292789"/>
    <w:rsid w:val="002A6906"/>
    <w:rsid w:val="002B2986"/>
    <w:rsid w:val="002B5CE0"/>
    <w:rsid w:val="002C1556"/>
    <w:rsid w:val="002C36AE"/>
    <w:rsid w:val="002C55D5"/>
    <w:rsid w:val="003030FD"/>
    <w:rsid w:val="00303D43"/>
    <w:rsid w:val="00310B5D"/>
    <w:rsid w:val="00320436"/>
    <w:rsid w:val="003331C9"/>
    <w:rsid w:val="00335829"/>
    <w:rsid w:val="00335CD9"/>
    <w:rsid w:val="00345245"/>
    <w:rsid w:val="00380297"/>
    <w:rsid w:val="00380CB6"/>
    <w:rsid w:val="003C4409"/>
    <w:rsid w:val="003D5816"/>
    <w:rsid w:val="003F35DC"/>
    <w:rsid w:val="00414CCD"/>
    <w:rsid w:val="004260CD"/>
    <w:rsid w:val="00446868"/>
    <w:rsid w:val="00481A4C"/>
    <w:rsid w:val="00482B95"/>
    <w:rsid w:val="00483292"/>
    <w:rsid w:val="004A3BB2"/>
    <w:rsid w:val="004B7841"/>
    <w:rsid w:val="004C5D6F"/>
    <w:rsid w:val="004D2112"/>
    <w:rsid w:val="004D243F"/>
    <w:rsid w:val="004F2ADA"/>
    <w:rsid w:val="004F3762"/>
    <w:rsid w:val="005241C1"/>
    <w:rsid w:val="00525959"/>
    <w:rsid w:val="00537AC3"/>
    <w:rsid w:val="00551364"/>
    <w:rsid w:val="0057259A"/>
    <w:rsid w:val="00573726"/>
    <w:rsid w:val="005B6E6C"/>
    <w:rsid w:val="005B702C"/>
    <w:rsid w:val="005C4B41"/>
    <w:rsid w:val="005E3D1C"/>
    <w:rsid w:val="00610388"/>
    <w:rsid w:val="00617FAA"/>
    <w:rsid w:val="00630654"/>
    <w:rsid w:val="0064033C"/>
    <w:rsid w:val="00642FAC"/>
    <w:rsid w:val="00676B39"/>
    <w:rsid w:val="00684208"/>
    <w:rsid w:val="006A0DD1"/>
    <w:rsid w:val="006A6AB3"/>
    <w:rsid w:val="006A6AF0"/>
    <w:rsid w:val="006A7EEF"/>
    <w:rsid w:val="006B3D53"/>
    <w:rsid w:val="006C4226"/>
    <w:rsid w:val="006C649E"/>
    <w:rsid w:val="006D668A"/>
    <w:rsid w:val="006F0CDC"/>
    <w:rsid w:val="006F0FAE"/>
    <w:rsid w:val="006F467A"/>
    <w:rsid w:val="00705770"/>
    <w:rsid w:val="00713C36"/>
    <w:rsid w:val="0072245A"/>
    <w:rsid w:val="00723CBE"/>
    <w:rsid w:val="00731F28"/>
    <w:rsid w:val="00734A11"/>
    <w:rsid w:val="007446EC"/>
    <w:rsid w:val="0077237C"/>
    <w:rsid w:val="00772A05"/>
    <w:rsid w:val="007733E9"/>
    <w:rsid w:val="00773A11"/>
    <w:rsid w:val="00784BB3"/>
    <w:rsid w:val="007878C9"/>
    <w:rsid w:val="007961D1"/>
    <w:rsid w:val="007B236B"/>
    <w:rsid w:val="007C6012"/>
    <w:rsid w:val="007D765E"/>
    <w:rsid w:val="007E2D3E"/>
    <w:rsid w:val="00810684"/>
    <w:rsid w:val="00811E01"/>
    <w:rsid w:val="0082009F"/>
    <w:rsid w:val="00843A57"/>
    <w:rsid w:val="008451F5"/>
    <w:rsid w:val="00860713"/>
    <w:rsid w:val="0086173A"/>
    <w:rsid w:val="0086616B"/>
    <w:rsid w:val="0087438B"/>
    <w:rsid w:val="008A3FEE"/>
    <w:rsid w:val="008B0A15"/>
    <w:rsid w:val="008D4D80"/>
    <w:rsid w:val="008D7DAF"/>
    <w:rsid w:val="008E4268"/>
    <w:rsid w:val="008F0587"/>
    <w:rsid w:val="008F131F"/>
    <w:rsid w:val="00903C4B"/>
    <w:rsid w:val="009349F9"/>
    <w:rsid w:val="00940CF1"/>
    <w:rsid w:val="00942698"/>
    <w:rsid w:val="009509B4"/>
    <w:rsid w:val="0095695F"/>
    <w:rsid w:val="00962BF9"/>
    <w:rsid w:val="009712EA"/>
    <w:rsid w:val="009740FE"/>
    <w:rsid w:val="00981E7A"/>
    <w:rsid w:val="009853F3"/>
    <w:rsid w:val="00993454"/>
    <w:rsid w:val="00994B38"/>
    <w:rsid w:val="009A043A"/>
    <w:rsid w:val="009A7037"/>
    <w:rsid w:val="009B1E0D"/>
    <w:rsid w:val="009B7EB9"/>
    <w:rsid w:val="009D6897"/>
    <w:rsid w:val="009E1E18"/>
    <w:rsid w:val="009E42A4"/>
    <w:rsid w:val="009F5E98"/>
    <w:rsid w:val="00A07FCC"/>
    <w:rsid w:val="00A110BD"/>
    <w:rsid w:val="00A15DF9"/>
    <w:rsid w:val="00A25AAA"/>
    <w:rsid w:val="00A3396E"/>
    <w:rsid w:val="00A40530"/>
    <w:rsid w:val="00A438AE"/>
    <w:rsid w:val="00A4734F"/>
    <w:rsid w:val="00A61812"/>
    <w:rsid w:val="00A979FF"/>
    <w:rsid w:val="00AA0BA6"/>
    <w:rsid w:val="00AB0EEC"/>
    <w:rsid w:val="00AC3BF5"/>
    <w:rsid w:val="00AC5316"/>
    <w:rsid w:val="00AD799C"/>
    <w:rsid w:val="00AF03C2"/>
    <w:rsid w:val="00AF1F1C"/>
    <w:rsid w:val="00B26F67"/>
    <w:rsid w:val="00B4545E"/>
    <w:rsid w:val="00B47926"/>
    <w:rsid w:val="00B66B45"/>
    <w:rsid w:val="00B74641"/>
    <w:rsid w:val="00B93810"/>
    <w:rsid w:val="00BC63DA"/>
    <w:rsid w:val="00BD3DA4"/>
    <w:rsid w:val="00BF28F2"/>
    <w:rsid w:val="00C279CE"/>
    <w:rsid w:val="00C53231"/>
    <w:rsid w:val="00C54E34"/>
    <w:rsid w:val="00C77658"/>
    <w:rsid w:val="00C83C7C"/>
    <w:rsid w:val="00C940FA"/>
    <w:rsid w:val="00CA09EC"/>
    <w:rsid w:val="00CA75B5"/>
    <w:rsid w:val="00CC4770"/>
    <w:rsid w:val="00CC5234"/>
    <w:rsid w:val="00CD373B"/>
    <w:rsid w:val="00CF2A56"/>
    <w:rsid w:val="00D01125"/>
    <w:rsid w:val="00D02BB6"/>
    <w:rsid w:val="00D31E0B"/>
    <w:rsid w:val="00D6686A"/>
    <w:rsid w:val="00D711C6"/>
    <w:rsid w:val="00D7533C"/>
    <w:rsid w:val="00D85F3D"/>
    <w:rsid w:val="00D951B9"/>
    <w:rsid w:val="00D95BDD"/>
    <w:rsid w:val="00DA6703"/>
    <w:rsid w:val="00DB5238"/>
    <w:rsid w:val="00DC13E5"/>
    <w:rsid w:val="00DF1B93"/>
    <w:rsid w:val="00E11481"/>
    <w:rsid w:val="00E3263F"/>
    <w:rsid w:val="00E374F3"/>
    <w:rsid w:val="00E37B50"/>
    <w:rsid w:val="00E75F24"/>
    <w:rsid w:val="00E8235C"/>
    <w:rsid w:val="00E830C0"/>
    <w:rsid w:val="00EA1EA4"/>
    <w:rsid w:val="00EA2123"/>
    <w:rsid w:val="00EB7CA6"/>
    <w:rsid w:val="00ED2E97"/>
    <w:rsid w:val="00ED6A04"/>
    <w:rsid w:val="00EE48C7"/>
    <w:rsid w:val="00F11566"/>
    <w:rsid w:val="00F17134"/>
    <w:rsid w:val="00F51CD4"/>
    <w:rsid w:val="00F54A5D"/>
    <w:rsid w:val="00F55BC3"/>
    <w:rsid w:val="00FB1D72"/>
    <w:rsid w:val="00FE308E"/>
    <w:rsid w:val="00FE6BEA"/>
    <w:rsid w:val="00FF0070"/>
    <w:rsid w:val="00FF4413"/>
    <w:rsid w:val="00FF5648"/>
    <w:rsid w:val="0F3FFAF8"/>
    <w:rsid w:val="0FCAF15B"/>
    <w:rsid w:val="155E7ABF"/>
    <w:rsid w:val="1E5F3E09"/>
    <w:rsid w:val="1EFF98EC"/>
    <w:rsid w:val="1FB740B7"/>
    <w:rsid w:val="1FFDB2E3"/>
    <w:rsid w:val="276FB465"/>
    <w:rsid w:val="27FEE86D"/>
    <w:rsid w:val="2F9E9CA6"/>
    <w:rsid w:val="33FFDDBF"/>
    <w:rsid w:val="37FF66DF"/>
    <w:rsid w:val="3DDC2858"/>
    <w:rsid w:val="3F779D30"/>
    <w:rsid w:val="3FBBD21F"/>
    <w:rsid w:val="3FFB2CF8"/>
    <w:rsid w:val="3FFFFAC2"/>
    <w:rsid w:val="456F4A45"/>
    <w:rsid w:val="45FF9678"/>
    <w:rsid w:val="46AE6E82"/>
    <w:rsid w:val="47F7A386"/>
    <w:rsid w:val="4BF6C382"/>
    <w:rsid w:val="4BFF376A"/>
    <w:rsid w:val="4D8B9A69"/>
    <w:rsid w:val="4F7E8709"/>
    <w:rsid w:val="4F9B3BFD"/>
    <w:rsid w:val="4FF183A0"/>
    <w:rsid w:val="547FA55C"/>
    <w:rsid w:val="57F792C7"/>
    <w:rsid w:val="5B7B8830"/>
    <w:rsid w:val="5BAE3C7D"/>
    <w:rsid w:val="5BFBC430"/>
    <w:rsid w:val="5BFBE0C5"/>
    <w:rsid w:val="5CE51405"/>
    <w:rsid w:val="5CFE711D"/>
    <w:rsid w:val="5D554A51"/>
    <w:rsid w:val="5D7F3F88"/>
    <w:rsid w:val="5D9F8846"/>
    <w:rsid w:val="5F5C9299"/>
    <w:rsid w:val="5FF2829E"/>
    <w:rsid w:val="5FFF4761"/>
    <w:rsid w:val="632BBCF8"/>
    <w:rsid w:val="67A438AC"/>
    <w:rsid w:val="67FBF5E7"/>
    <w:rsid w:val="6CDF7511"/>
    <w:rsid w:val="6E57138C"/>
    <w:rsid w:val="6EFD9870"/>
    <w:rsid w:val="6F1B3E03"/>
    <w:rsid w:val="6FB7CD3C"/>
    <w:rsid w:val="6FD8E6A4"/>
    <w:rsid w:val="6FFFA9EC"/>
    <w:rsid w:val="6FFFB5E3"/>
    <w:rsid w:val="70E13F61"/>
    <w:rsid w:val="71E7FFEF"/>
    <w:rsid w:val="75B55776"/>
    <w:rsid w:val="75FF6FFB"/>
    <w:rsid w:val="77D47BD7"/>
    <w:rsid w:val="77EFA032"/>
    <w:rsid w:val="78D20028"/>
    <w:rsid w:val="78F7D061"/>
    <w:rsid w:val="79E6756F"/>
    <w:rsid w:val="79F76971"/>
    <w:rsid w:val="79F8291F"/>
    <w:rsid w:val="7ABA9B19"/>
    <w:rsid w:val="7BF75CA3"/>
    <w:rsid w:val="7BF76E3A"/>
    <w:rsid w:val="7BFA93E7"/>
    <w:rsid w:val="7BFF70A0"/>
    <w:rsid w:val="7DD43D75"/>
    <w:rsid w:val="7DDF7599"/>
    <w:rsid w:val="7DEF245C"/>
    <w:rsid w:val="7DFBA6E3"/>
    <w:rsid w:val="7DFEDDB8"/>
    <w:rsid w:val="7E3F78A9"/>
    <w:rsid w:val="7F7F18B3"/>
    <w:rsid w:val="7F9D2A98"/>
    <w:rsid w:val="7FB9EFD8"/>
    <w:rsid w:val="7FBD679E"/>
    <w:rsid w:val="7FDF4401"/>
    <w:rsid w:val="7FDFE27D"/>
    <w:rsid w:val="7FEF6941"/>
    <w:rsid w:val="7FFD9252"/>
    <w:rsid w:val="9DBD2A6B"/>
    <w:rsid w:val="9DEF7731"/>
    <w:rsid w:val="9EBE88A1"/>
    <w:rsid w:val="AF9F0D29"/>
    <w:rsid w:val="AFFE8542"/>
    <w:rsid w:val="B1FDF09B"/>
    <w:rsid w:val="B2796933"/>
    <w:rsid w:val="B3E85CEF"/>
    <w:rsid w:val="B6F2BE49"/>
    <w:rsid w:val="B78F8E79"/>
    <w:rsid w:val="B7B555F8"/>
    <w:rsid w:val="B7F747D0"/>
    <w:rsid w:val="B7FF8D3B"/>
    <w:rsid w:val="BDBC08EC"/>
    <w:rsid w:val="BDD7FA9F"/>
    <w:rsid w:val="BED845FA"/>
    <w:rsid w:val="BEFB3B9F"/>
    <w:rsid w:val="BFEF37CA"/>
    <w:rsid w:val="C6BF346F"/>
    <w:rsid w:val="CDFF4DC8"/>
    <w:rsid w:val="CE7D9A64"/>
    <w:rsid w:val="D3FF2B99"/>
    <w:rsid w:val="D7AF0FC2"/>
    <w:rsid w:val="D7FF1CA7"/>
    <w:rsid w:val="D7FF3CD0"/>
    <w:rsid w:val="DA58CDF1"/>
    <w:rsid w:val="DB7A7CD6"/>
    <w:rsid w:val="DD78D475"/>
    <w:rsid w:val="DDFD5392"/>
    <w:rsid w:val="DE527767"/>
    <w:rsid w:val="DEEB05C5"/>
    <w:rsid w:val="DEFE2F38"/>
    <w:rsid w:val="DF7A3A8C"/>
    <w:rsid w:val="DFBB3CE5"/>
    <w:rsid w:val="DFCC63CF"/>
    <w:rsid w:val="DFD3C9A1"/>
    <w:rsid w:val="DFD6303B"/>
    <w:rsid w:val="DFEDC766"/>
    <w:rsid w:val="DFFE8EFB"/>
    <w:rsid w:val="DFFF06DD"/>
    <w:rsid w:val="DFFF5912"/>
    <w:rsid w:val="DFFFC7B3"/>
    <w:rsid w:val="E5FF397A"/>
    <w:rsid w:val="E737FA7A"/>
    <w:rsid w:val="E7C77A3E"/>
    <w:rsid w:val="EADFD589"/>
    <w:rsid w:val="EBFF5283"/>
    <w:rsid w:val="ECDE9528"/>
    <w:rsid w:val="ECE7A2B0"/>
    <w:rsid w:val="ED3FB264"/>
    <w:rsid w:val="EDFDD951"/>
    <w:rsid w:val="EE7FA3CF"/>
    <w:rsid w:val="EEDF05E3"/>
    <w:rsid w:val="EFAED640"/>
    <w:rsid w:val="EFCA6B25"/>
    <w:rsid w:val="EFF60C71"/>
    <w:rsid w:val="EFFD091A"/>
    <w:rsid w:val="EFFDC42A"/>
    <w:rsid w:val="F37EC007"/>
    <w:rsid w:val="F5F7217B"/>
    <w:rsid w:val="F5FFEDCB"/>
    <w:rsid w:val="F73F049B"/>
    <w:rsid w:val="F77F015E"/>
    <w:rsid w:val="F7D4EEF0"/>
    <w:rsid w:val="F7FF4175"/>
    <w:rsid w:val="F8FD570F"/>
    <w:rsid w:val="F9FA1912"/>
    <w:rsid w:val="FA3F7A42"/>
    <w:rsid w:val="FA8B3D5F"/>
    <w:rsid w:val="FABD13C0"/>
    <w:rsid w:val="FB3AB0A1"/>
    <w:rsid w:val="FB67679B"/>
    <w:rsid w:val="FB7B12BD"/>
    <w:rsid w:val="FB7EF71E"/>
    <w:rsid w:val="FBAE2DFD"/>
    <w:rsid w:val="FCBAA23D"/>
    <w:rsid w:val="FCFB8E1E"/>
    <w:rsid w:val="FCFFFF24"/>
    <w:rsid w:val="FD4FA659"/>
    <w:rsid w:val="FDC9D2FF"/>
    <w:rsid w:val="FDDE14F2"/>
    <w:rsid w:val="FDEB572B"/>
    <w:rsid w:val="FDF794B4"/>
    <w:rsid w:val="FDF7E0CC"/>
    <w:rsid w:val="FDFE8147"/>
    <w:rsid w:val="FDFF1A04"/>
    <w:rsid w:val="FDFF44A9"/>
    <w:rsid w:val="FEF1A251"/>
    <w:rsid w:val="FEF9F299"/>
    <w:rsid w:val="FEFA5DCC"/>
    <w:rsid w:val="FF375FC9"/>
    <w:rsid w:val="FF7F9CC0"/>
    <w:rsid w:val="FF8F654F"/>
    <w:rsid w:val="FFBA030D"/>
    <w:rsid w:val="FFCF5BCA"/>
    <w:rsid w:val="FFD705E7"/>
    <w:rsid w:val="FFD71A4E"/>
    <w:rsid w:val="FFDB57E1"/>
    <w:rsid w:val="FFF37883"/>
    <w:rsid w:val="FFF6E65F"/>
    <w:rsid w:val="FFFD9DE4"/>
    <w:rsid w:val="FFFF7953"/>
    <w:rsid w:val="FFFF8A60"/>
    <w:rsid w:val="FFFFACF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kern w:val="2"/>
      <w:sz w:val="21"/>
      <w:szCs w:val="24"/>
      <w:lang w:val="en-US" w:eastAsia="zh-CN" w:bidi="ar-SA"/>
    </w:rPr>
  </w:style>
  <w:style w:type="paragraph" w:styleId="4">
    <w:name w:val="heading 1"/>
    <w:basedOn w:val="1"/>
    <w:next w:val="1"/>
    <w:qFormat/>
    <w:uiPriority w:val="9"/>
    <w:pPr>
      <w:ind w:firstLine="0" w:firstLineChars="0"/>
      <w:jc w:val="center"/>
      <w:outlineLvl w:val="0"/>
    </w:pPr>
    <w:rPr>
      <w:rFonts w:ascii="方正小标宋简体" w:hAnsi="方正小标宋简体" w:eastAsia="方正小标宋简体"/>
      <w:sz w:val="44"/>
      <w:szCs w:val="44"/>
    </w:rPr>
  </w:style>
  <w:style w:type="paragraph" w:styleId="5">
    <w:name w:val="heading 2"/>
    <w:basedOn w:val="1"/>
    <w:next w:val="1"/>
    <w:qFormat/>
    <w:uiPriority w:val="0"/>
    <w:pPr>
      <w:spacing w:before="100" w:beforeAutospacing="1" w:after="100" w:afterAutospacing="1"/>
      <w:jc w:val="left"/>
      <w:outlineLvl w:val="1"/>
    </w:pPr>
    <w:rPr>
      <w:rFonts w:hint="eastAsia" w:ascii="宋体" w:hAnsi="宋体"/>
      <w:b/>
      <w:kern w:val="0"/>
      <w:sz w:val="36"/>
      <w:szCs w:val="36"/>
    </w:rPr>
  </w:style>
  <w:style w:type="character" w:default="1" w:styleId="19">
    <w:name w:val="Default Paragraph Font"/>
    <w:link w:val="20"/>
    <w:semiHidden/>
    <w:uiPriority w:val="0"/>
  </w:style>
  <w:style w:type="table" w:default="1" w:styleId="17">
    <w:name w:val="Normal Table"/>
    <w:semiHidden/>
    <w:uiPriority w:val="0"/>
    <w:tblPr>
      <w:tblStyle w:val="17"/>
      <w:tblCellMar>
        <w:top w:w="0" w:type="dxa"/>
        <w:left w:w="108" w:type="dxa"/>
        <w:bottom w:w="0" w:type="dxa"/>
        <w:right w:w="108" w:type="dxa"/>
      </w:tblCellMar>
    </w:tblPr>
  </w:style>
  <w:style w:type="paragraph" w:styleId="2">
    <w:name w:val="Body Text First Indent 2"/>
    <w:basedOn w:val="3"/>
    <w:next w:val="1"/>
    <w:unhideWhenUsed/>
    <w:qFormat/>
    <w:uiPriority w:val="99"/>
    <w:pPr>
      <w:ind w:left="420" w:leftChars="200" w:firstLine="210"/>
    </w:pPr>
  </w:style>
  <w:style w:type="paragraph" w:styleId="3">
    <w:name w:val="Body Text Indent"/>
    <w:basedOn w:val="1"/>
    <w:next w:val="2"/>
    <w:uiPriority w:val="0"/>
    <w:pPr>
      <w:spacing w:line="580" w:lineRule="exact"/>
      <w:ind w:firstLine="640"/>
    </w:pPr>
    <w:rPr>
      <w:rFonts w:eastAsia="仿宋_GB2312"/>
      <w:sz w:val="32"/>
      <w:szCs w:val="32"/>
    </w:rPr>
  </w:style>
  <w:style w:type="paragraph" w:styleId="6">
    <w:name w:val="Normal Indent"/>
    <w:basedOn w:val="1"/>
    <w:next w:val="1"/>
    <w:qFormat/>
    <w:uiPriority w:val="0"/>
    <w:pPr>
      <w:widowControl w:val="0"/>
      <w:ind w:firstLine="200" w:firstLineChars="200"/>
      <w:jc w:val="both"/>
    </w:pPr>
    <w:rPr>
      <w:rFonts w:cs="Arial"/>
      <w:kern w:val="2"/>
      <w:sz w:val="21"/>
      <w:szCs w:val="22"/>
      <w:lang w:val="en-US" w:eastAsia="zh-CN" w:bidi="ar-SA"/>
    </w:rPr>
  </w:style>
  <w:style w:type="paragraph" w:styleId="7">
    <w:name w:val="Body Text"/>
    <w:basedOn w:val="1"/>
    <w:next w:val="1"/>
    <w:qFormat/>
    <w:uiPriority w:val="0"/>
    <w:pPr>
      <w:spacing w:after="120"/>
    </w:pPr>
    <w:rPr>
      <w:rFonts w:ascii="Times New Roman" w:hAnsi="Times New Roman" w:eastAsia="宋体" w:cs="Times New Roman"/>
    </w:rPr>
  </w:style>
  <w:style w:type="paragraph" w:styleId="8">
    <w:name w:val="Date"/>
    <w:basedOn w:val="1"/>
    <w:next w:val="1"/>
    <w:uiPriority w:val="0"/>
    <w:pPr>
      <w:ind w:left="100" w:leftChars="2500"/>
    </w:pPr>
  </w:style>
  <w:style w:type="paragraph" w:styleId="9">
    <w:name w:val="Balloon Text"/>
    <w:basedOn w:val="1"/>
    <w:semiHidden/>
    <w:uiPriority w:val="0"/>
    <w:rPr>
      <w:sz w:val="18"/>
      <w:szCs w:val="18"/>
    </w:rPr>
  </w:style>
  <w:style w:type="paragraph" w:styleId="10">
    <w:name w:val="footer"/>
    <w:basedOn w:val="1"/>
    <w:link w:val="23"/>
    <w:uiPriority w:val="0"/>
    <w:pPr>
      <w:tabs>
        <w:tab w:val="center" w:pos="4153"/>
        <w:tab w:val="right" w:pos="8306"/>
      </w:tabs>
      <w:snapToGrid w:val="0"/>
      <w:jc w:val="left"/>
    </w:pPr>
    <w:rPr>
      <w:sz w:val="18"/>
      <w:szCs w:val="18"/>
    </w:rPr>
  </w:style>
  <w:style w:type="paragraph" w:styleId="11">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0"/>
  </w:style>
  <w:style w:type="paragraph" w:styleId="13">
    <w:name w:val="footnote text"/>
    <w:basedOn w:val="1"/>
    <w:qFormat/>
    <w:uiPriority w:val="0"/>
    <w:pPr>
      <w:keepNext w:val="0"/>
      <w:keepLines w:val="0"/>
      <w:widowControl w:val="0"/>
      <w:suppressLineNumbers w:val="0"/>
      <w:snapToGrid w:val="0"/>
      <w:spacing w:before="0" w:beforeAutospacing="0" w:after="0" w:afterAutospacing="0"/>
      <w:ind w:left="0" w:right="0"/>
      <w:jc w:val="left"/>
    </w:pPr>
    <w:rPr>
      <w:rFonts w:hint="default" w:ascii="Calibri" w:hAnsi="Calibri" w:eastAsia="宋体" w:cs="Times New Roman"/>
      <w:kern w:val="2"/>
      <w:sz w:val="18"/>
      <w:szCs w:val="18"/>
      <w:lang w:val="en-US" w:eastAsia="zh-CN" w:bidi="ar"/>
    </w:rPr>
  </w:style>
  <w:style w:type="paragraph" w:styleId="1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5">
    <w:name w:val="Normal (Web)"/>
    <w:basedOn w:val="1"/>
    <w:next w:val="1"/>
    <w:uiPriority w:val="0"/>
    <w:pPr>
      <w:widowControl/>
      <w:spacing w:before="100" w:beforeAutospacing="1" w:after="100" w:afterAutospacing="1"/>
      <w:jc w:val="left"/>
    </w:pPr>
    <w:rPr>
      <w:rFonts w:ascii="宋体" w:hAnsi="宋体" w:cs="宋体"/>
      <w:kern w:val="0"/>
      <w:sz w:val="24"/>
    </w:rPr>
  </w:style>
  <w:style w:type="paragraph" w:styleId="16">
    <w:name w:val="Body Text First Indent"/>
    <w:basedOn w:val="7"/>
    <w:next w:val="1"/>
    <w:qFormat/>
    <w:uiPriority w:val="0"/>
    <w:pPr>
      <w:spacing w:line="580" w:lineRule="atLeast"/>
      <w:ind w:firstLine="560" w:firstLineChars="200"/>
    </w:pPr>
    <w:rPr>
      <w:sz w:val="28"/>
    </w:rPr>
  </w:style>
  <w:style w:type="table" w:styleId="18">
    <w:name w:val="Table Grid"/>
    <w:basedOn w:val="17"/>
    <w:uiPriority w:val="0"/>
    <w:pPr>
      <w:widowControl w:val="0"/>
      <w:jc w:val="both"/>
    </w:pPr>
    <w:tblPr>
      <w:tblStyle w:val="17"/>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0">
    <w:name w:val=" Char Char Char Char"/>
    <w:basedOn w:val="1"/>
    <w:link w:val="19"/>
    <w:uiPriority w:val="0"/>
  </w:style>
  <w:style w:type="character" w:styleId="21">
    <w:name w:val="Strong"/>
    <w:basedOn w:val="19"/>
    <w:qFormat/>
    <w:uiPriority w:val="0"/>
    <w:rPr>
      <w:b/>
    </w:rPr>
  </w:style>
  <w:style w:type="character" w:styleId="22">
    <w:name w:val="page number"/>
    <w:basedOn w:val="19"/>
    <w:uiPriority w:val="0"/>
  </w:style>
  <w:style w:type="character" w:customStyle="1" w:styleId="23">
    <w:name w:val="页脚 Char Char"/>
    <w:basedOn w:val="19"/>
    <w:link w:val="10"/>
    <w:uiPriority w:val="0"/>
    <w:rPr>
      <w:rFonts w:eastAsia="宋体"/>
      <w:kern w:val="2"/>
      <w:sz w:val="18"/>
      <w:szCs w:val="18"/>
      <w:lang w:val="en-US" w:eastAsia="zh-CN" w:bidi="ar-SA"/>
    </w:rPr>
  </w:style>
  <w:style w:type="character" w:customStyle="1" w:styleId="24">
    <w:name w:val="NormalCharacter"/>
    <w:uiPriority w:val="0"/>
    <w:rPr>
      <w:kern w:val="2"/>
      <w:sz w:val="21"/>
      <w:szCs w:val="24"/>
      <w:lang w:val="en-US" w:eastAsia="zh-CN" w:bidi="ar-SA"/>
    </w:rPr>
  </w:style>
  <w:style w:type="paragraph" w:customStyle="1" w:styleId="25">
    <w:name w:val="样式 行距: 固定值 28.9 磅"/>
    <w:qFormat/>
    <w:uiPriority w:val="0"/>
    <w:pPr>
      <w:widowControl w:val="0"/>
      <w:spacing w:line="578" w:lineRule="exact"/>
      <w:jc w:val="both"/>
    </w:pPr>
    <w:rPr>
      <w:rFonts w:ascii="Calibri" w:hAnsi="Calibri" w:eastAsia="宋体" w:cs="宋体"/>
      <w:kern w:val="2"/>
      <w:sz w:val="21"/>
      <w:szCs w:val="20"/>
      <w:lang w:val="en-US" w:eastAsia="zh-CN" w:bidi="ar-SA"/>
    </w:rPr>
  </w:style>
  <w:style w:type="character" w:customStyle="1" w:styleId="26">
    <w:name w:val="11p1"/>
    <w:basedOn w:val="19"/>
    <w:uiPriority w:val="0"/>
    <w:rPr>
      <w:rFonts w:hint="default" w:ascii="_x000B__x000C_" w:hAnsi="_x000B__x000C_"/>
      <w:color w:val="000000"/>
      <w:sz w:val="22"/>
      <w:szCs w:val="22"/>
      <w:u w:val="none"/>
    </w:rPr>
  </w:style>
  <w:style w:type="paragraph" w:customStyle="1" w:styleId="27">
    <w:name w:val="Char"/>
    <w:basedOn w:val="1"/>
    <w:uiPriority w:val="0"/>
    <w:pPr>
      <w:spacing w:line="360" w:lineRule="auto"/>
    </w:pPr>
  </w:style>
  <w:style w:type="paragraph" w:customStyle="1" w:styleId="28">
    <w:name w:val="Char Char Char Char Char Char Char Char Char Char Char Char Char Char Char Char Char Char Char Char Char Char Char Char Char Char Char Char Char Char Char Char Char"/>
    <w:basedOn w:val="1"/>
    <w:uiPriority w:val="0"/>
    <w:pPr>
      <w:widowControl/>
      <w:spacing w:after="160" w:line="240" w:lineRule="exact"/>
      <w:jc w:val="left"/>
    </w:pPr>
    <w:rPr>
      <w:rFonts w:ascii="Verdana" w:hAnsi="Verdana" w:eastAsia="仿宋_GB2312"/>
      <w:kern w:val="0"/>
      <w:sz w:val="24"/>
      <w:szCs w:val="20"/>
      <w:lang w:eastAsia="en-US"/>
    </w:rPr>
  </w:style>
  <w:style w:type="character" w:customStyle="1" w:styleId="29">
    <w:name w:val=" Char Char"/>
    <w:basedOn w:val="19"/>
    <w:uiPriority w:val="0"/>
    <w:rPr>
      <w:rFonts w:eastAsia="宋体"/>
      <w:kern w:val="2"/>
      <w:sz w:val="18"/>
      <w:szCs w:val="18"/>
      <w:lang w:val="en-US" w:eastAsia="zh-CN" w:bidi="ar-SA"/>
    </w:rPr>
  </w:style>
  <w:style w:type="paragraph" w:customStyle="1" w:styleId="30">
    <w:name w:val="Char Char Char Char"/>
    <w:basedOn w:val="1"/>
    <w:uiPriority w:val="0"/>
  </w:style>
  <w:style w:type="character" w:customStyle="1" w:styleId="31">
    <w:name w:val="UserStyle_6"/>
    <w:uiPriority w:val="0"/>
    <w:rPr>
      <w:rFonts w:ascii="Calibri" w:hAnsi="Calibri"/>
      <w:kern w:val="2"/>
      <w:sz w:val="24"/>
      <w:lang w:val="en-US" w:eastAsia="zh-CN"/>
    </w:rPr>
  </w:style>
  <w:style w:type="character" w:customStyle="1" w:styleId="32">
    <w:name w:val="页脚 Char"/>
    <w:basedOn w:val="19"/>
    <w:uiPriority w:val="0"/>
    <w:rPr>
      <w:kern w:val="2"/>
      <w:sz w:val="18"/>
      <w:szCs w:val="24"/>
      <w:lang w:bidi="ar-SA"/>
    </w:rPr>
  </w:style>
  <w:style w:type="paragraph" w:customStyle="1" w:styleId="33">
    <w:name w:val="Char1 Char Char Char Char Char Char"/>
    <w:basedOn w:val="1"/>
    <w:uiPriority w:val="0"/>
    <w:rPr>
      <w:rFonts w:ascii="宋体" w:hAnsi="宋体" w:eastAsia="仿宋_GB2312"/>
      <w:kern w:val="0"/>
      <w:sz w:val="30"/>
      <w:szCs w:val="30"/>
    </w:rPr>
  </w:style>
  <w:style w:type="paragraph" w:customStyle="1" w:styleId="34">
    <w:name w:val=" Char"/>
    <w:basedOn w:val="1"/>
    <w:link w:val="35"/>
    <w:qFormat/>
    <w:uiPriority w:val="0"/>
    <w:pPr>
      <w:spacing w:line="360" w:lineRule="auto"/>
    </w:pPr>
    <w:rPr>
      <w:rFonts w:ascii="Tahoma" w:hAnsi="Tahoma"/>
      <w:sz w:val="24"/>
      <w:szCs w:val="20"/>
    </w:rPr>
  </w:style>
  <w:style w:type="character" w:customStyle="1" w:styleId="35">
    <w:name w:val=" Char Char1"/>
    <w:basedOn w:val="19"/>
    <w:link w:val="34"/>
    <w:uiPriority w:val="0"/>
    <w:rPr>
      <w:rFonts w:ascii="Tahoma" w:hAnsi="Tahoma" w:eastAsia="宋体"/>
      <w:kern w:val="2"/>
      <w:sz w:val="24"/>
      <w:lang w:val="en-US" w:eastAsia="zh-CN" w:bidi="ar-SA"/>
    </w:rPr>
  </w:style>
  <w:style w:type="paragraph" w:customStyle="1" w:styleId="36">
    <w:name w:val="Body text|1"/>
    <w:basedOn w:val="1"/>
    <w:uiPriority w:val="0"/>
    <w:pPr>
      <w:spacing w:line="466" w:lineRule="auto"/>
      <w:ind w:firstLine="400"/>
    </w:pPr>
    <w:rPr>
      <w:rFonts w:ascii="宋体" w:hAnsi="宋体" w:cs="宋体"/>
      <w:color w:val="2C2C2C"/>
      <w:sz w:val="20"/>
      <w:szCs w:val="20"/>
      <w:lang w:val="zh-CN" w:bidi="zh-CN"/>
    </w:rPr>
  </w:style>
  <w:style w:type="paragraph" w:customStyle="1" w:styleId="37">
    <w:name w:val="p0"/>
    <w:basedOn w:val="1"/>
    <w:uiPriority w:val="0"/>
    <w:pPr>
      <w:widowControl/>
    </w:pPr>
    <w:rPr>
      <w:kern w:val="0"/>
      <w:szCs w:val="21"/>
    </w:rPr>
  </w:style>
  <w:style w:type="paragraph" w:customStyle="1" w:styleId="38">
    <w:name w:val="附件"/>
    <w:basedOn w:val="1"/>
    <w:qFormat/>
    <w:uiPriority w:val="0"/>
    <w:pPr>
      <w:spacing w:line="280" w:lineRule="exact"/>
    </w:pPr>
    <w:rPr>
      <w:rFonts w:ascii="Times New Roman" w:hAnsi="Times New Roman"/>
    </w:rPr>
  </w:style>
  <w:style w:type="paragraph" w:customStyle="1" w:styleId="39">
    <w:name w:val="单位"/>
    <w:basedOn w:val="1"/>
    <w:qFormat/>
    <w:uiPriority w:val="0"/>
    <w:pPr>
      <w:spacing w:line="280" w:lineRule="exact"/>
      <w:jc w:val="center"/>
    </w:pPr>
    <w:rPr>
      <w:rFonts w:ascii="Times New Roman" w:hAnsi="Times New Roman"/>
    </w:rPr>
  </w:style>
  <w:style w:type="table" w:customStyle="1" w:styleId="40">
    <w:name w:val="Table Normal"/>
    <w:unhideWhenUsed/>
    <w:qFormat/>
    <w:uiPriority w:val="0"/>
    <w:tblPr>
      <w:tblStyle w:val="17"/>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Microsoft\Templates\&#36195;&#24066;&#24220;&#21150;&#21457;1.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赣市府办发1.dot</Template>
  <Company>Microsoft China</Company>
  <Pages>7</Pages>
  <Words>3294</Words>
  <Characters>3343</Characters>
  <Lines>35</Lines>
  <Paragraphs>9</Paragraphs>
  <TotalTime>12.6666666666667</TotalTime>
  <ScaleCrop>false</ScaleCrop>
  <LinksUpToDate>false</LinksUpToDate>
  <CharactersWithSpaces>3359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2019-12-24T15:01:00Z</dcterms:created>
  <dc:creator>李玉玲</dc:creator>
  <cp:lastModifiedBy>网联科技</cp:lastModifiedBy>
  <cp:lastPrinted>2025-05-20T19:14:10Z</cp:lastPrinted>
  <dcterms:modified xsi:type="dcterms:W3CDTF">2025-05-20T10:09:27Z</dcterms:modified>
  <dc:title>赣市府办发[2007]20号</dc:title>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93C228C340C5462782BA00DB9A3DC21F_13</vt:lpwstr>
  </property>
</Properties>
</file>