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76EB2A">
      <w:pPr>
        <w:pStyle w:val="10"/>
        <w:keepNext w:val="0"/>
        <w:keepLines w:val="0"/>
        <w:pageBreakBefore w:val="0"/>
        <w:kinsoku/>
        <w:wordWrap/>
        <w:overflowPunct/>
        <w:topLinePunct w:val="0"/>
        <w:autoSpaceDE/>
        <w:autoSpaceDN/>
        <w:bidi w:val="0"/>
        <w:adjustRightInd/>
        <w:snapToGrid/>
        <w:spacing w:line="560" w:lineRule="exact"/>
        <w:jc w:val="center"/>
        <w:textAlignment w:val="auto"/>
      </w:pPr>
      <w:r>
        <w:rPr>
          <w:rFonts w:hint="eastAsia"/>
          <w:lang w:val="en-US" w:eastAsia="zh-CN"/>
        </w:rPr>
        <w:t>2023年度赣州市科技局部门</w:t>
      </w:r>
      <w:r>
        <w:rPr>
          <w:rFonts w:hint="eastAsia"/>
        </w:rPr>
        <w:t>预算绩效</w:t>
      </w:r>
      <w:r>
        <w:rPr>
          <w:rFonts w:hint="eastAsia"/>
          <w:lang w:eastAsia="zh-CN"/>
        </w:rPr>
        <w:t>评价</w:t>
      </w:r>
      <w:r>
        <w:rPr>
          <w:rFonts w:hint="eastAsia"/>
        </w:rPr>
        <w:t>报告</w:t>
      </w:r>
    </w:p>
    <w:p w14:paraId="0AB7C4D0">
      <w:pPr>
        <w:keepNext w:val="0"/>
        <w:keepLines w:val="0"/>
        <w:pageBreakBefore w:val="0"/>
        <w:kinsoku/>
        <w:wordWrap/>
        <w:overflowPunct/>
        <w:topLinePunct w:val="0"/>
        <w:autoSpaceDE/>
        <w:autoSpaceDN/>
        <w:bidi w:val="0"/>
        <w:adjustRightInd/>
        <w:snapToGrid/>
        <w:spacing w:line="560" w:lineRule="exact"/>
        <w:textAlignment w:val="auto"/>
      </w:pPr>
    </w:p>
    <w:p w14:paraId="2A33A79D">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华文宋体" w:hAnsi="华文宋体" w:eastAsia="仿宋_GB2312" w:cs="仿宋_GB2312"/>
          <w:bCs/>
          <w:sz w:val="32"/>
          <w:szCs w:val="32"/>
          <w:highlight w:val="none"/>
          <w:lang w:eastAsia="zh-CN"/>
        </w:rPr>
      </w:pPr>
      <w:r>
        <w:rPr>
          <w:rFonts w:hint="eastAsia" w:ascii="华文宋体" w:hAnsi="华文宋体" w:eastAsia="仿宋_GB2312" w:cs="仿宋_GB2312"/>
          <w:bCs/>
          <w:sz w:val="32"/>
          <w:szCs w:val="32"/>
          <w:highlight w:val="none"/>
          <w:lang w:eastAsia="zh-CN"/>
        </w:rPr>
        <w:t>市财政局：</w:t>
      </w:r>
    </w:p>
    <w:p w14:paraId="1FC66306">
      <w:pPr>
        <w:keepNext w:val="0"/>
        <w:keepLines w:val="0"/>
        <w:pageBreakBefore w:val="0"/>
        <w:kinsoku/>
        <w:wordWrap/>
        <w:overflowPunct/>
        <w:topLinePunct w:val="0"/>
        <w:autoSpaceDE/>
        <w:autoSpaceDN/>
        <w:bidi w:val="0"/>
        <w:adjustRightInd/>
        <w:snapToGrid/>
        <w:spacing w:line="560" w:lineRule="exact"/>
        <w:ind w:firstLine="632" w:firstLineChars="200"/>
        <w:jc w:val="left"/>
        <w:textAlignment w:val="auto"/>
        <w:rPr>
          <w:rFonts w:hint="eastAsia" w:ascii="华文宋体" w:hAnsi="华文宋体" w:eastAsia="仿宋_GB2312" w:cs="仿宋_GB2312"/>
          <w:bCs/>
          <w:sz w:val="32"/>
          <w:szCs w:val="32"/>
          <w:highlight w:val="none"/>
        </w:rPr>
      </w:pPr>
      <w:r>
        <w:rPr>
          <w:rFonts w:hint="eastAsia" w:ascii="华文宋体" w:hAnsi="华文宋体" w:eastAsia="仿宋_GB2312" w:cs="仿宋_GB2312"/>
          <w:bCs/>
          <w:sz w:val="32"/>
          <w:szCs w:val="32"/>
          <w:highlight w:val="none"/>
        </w:rPr>
        <w:t>为贯彻落实《中共赣州市委 赣州市人民政府关于全面实施预算绩效管理的实施意见》（赣市发[2019]12号）精神，根据</w:t>
      </w:r>
      <w:r>
        <w:rPr>
          <w:rFonts w:hint="default" w:ascii="华文宋体" w:hAnsi="华文宋体" w:eastAsia="仿宋_GB2312" w:cs="Times New Roman"/>
          <w:bCs/>
          <w:sz w:val="32"/>
          <w:szCs w:val="32"/>
          <w:highlight w:val="none"/>
        </w:rPr>
        <w:t>赣州市财政局</w:t>
      </w:r>
      <w:r>
        <w:rPr>
          <w:rFonts w:hint="eastAsia" w:ascii="华文宋体" w:hAnsi="华文宋体" w:eastAsia="仿宋_GB2312" w:cs="Times New Roman"/>
          <w:bCs/>
          <w:sz w:val="32"/>
          <w:szCs w:val="32"/>
          <w:highlight w:val="none"/>
          <w:lang w:eastAsia="zh-CN"/>
        </w:rPr>
        <w:t>《</w:t>
      </w:r>
      <w:r>
        <w:rPr>
          <w:rFonts w:hint="default" w:ascii="华文宋体" w:hAnsi="华文宋体" w:eastAsia="仿宋_GB2312" w:cs="Times New Roman"/>
          <w:bCs/>
          <w:sz w:val="32"/>
          <w:szCs w:val="32"/>
          <w:highlight w:val="none"/>
        </w:rPr>
        <w:t>关于</w:t>
      </w:r>
      <w:r>
        <w:rPr>
          <w:rFonts w:hint="eastAsia" w:ascii="华文宋体" w:hAnsi="华文宋体" w:eastAsia="仿宋_GB2312" w:cs="Times New Roman"/>
          <w:bCs/>
          <w:sz w:val="32"/>
          <w:szCs w:val="32"/>
          <w:highlight w:val="none"/>
          <w:lang w:eastAsia="zh-CN"/>
        </w:rPr>
        <w:t>做好</w:t>
      </w:r>
      <w:r>
        <w:rPr>
          <w:rFonts w:hint="default" w:ascii="华文宋体" w:hAnsi="华文宋体" w:eastAsia="仿宋_GB2312" w:cs="Times New Roman"/>
          <w:bCs/>
          <w:sz w:val="32"/>
          <w:szCs w:val="32"/>
          <w:highlight w:val="none"/>
        </w:rPr>
        <w:t>202</w:t>
      </w:r>
      <w:r>
        <w:rPr>
          <w:rFonts w:hint="eastAsia" w:ascii="华文宋体" w:hAnsi="华文宋体" w:eastAsia="仿宋_GB2312" w:cs="Times New Roman"/>
          <w:bCs/>
          <w:sz w:val="32"/>
          <w:szCs w:val="32"/>
          <w:highlight w:val="none"/>
          <w:lang w:val="en-US" w:eastAsia="zh-CN"/>
        </w:rPr>
        <w:t>4</w:t>
      </w:r>
      <w:r>
        <w:rPr>
          <w:rFonts w:hint="default" w:ascii="华文宋体" w:hAnsi="华文宋体" w:eastAsia="仿宋_GB2312" w:cs="Times New Roman"/>
          <w:bCs/>
          <w:sz w:val="32"/>
          <w:szCs w:val="32"/>
          <w:highlight w:val="none"/>
        </w:rPr>
        <w:t>年</w:t>
      </w:r>
      <w:r>
        <w:rPr>
          <w:rFonts w:hint="eastAsia" w:ascii="华文宋体" w:hAnsi="华文宋体" w:eastAsia="仿宋_GB2312" w:cs="Times New Roman"/>
          <w:bCs/>
          <w:sz w:val="32"/>
          <w:szCs w:val="32"/>
          <w:highlight w:val="none"/>
          <w:lang w:eastAsia="zh-CN"/>
        </w:rPr>
        <w:t>市级预算绩效管理工作</w:t>
      </w:r>
      <w:r>
        <w:rPr>
          <w:rFonts w:hint="default" w:ascii="华文宋体" w:hAnsi="华文宋体" w:eastAsia="仿宋_GB2312" w:cs="Times New Roman"/>
          <w:bCs/>
          <w:sz w:val="32"/>
          <w:szCs w:val="32"/>
          <w:highlight w:val="none"/>
        </w:rPr>
        <w:t>的通知》（赣市财</w:t>
      </w:r>
      <w:r>
        <w:rPr>
          <w:rFonts w:hint="default" w:ascii="华文宋体" w:hAnsi="华文宋体" w:eastAsia="仿宋_GB2312" w:cs="Times New Roman"/>
          <w:bCs/>
          <w:sz w:val="32"/>
          <w:szCs w:val="32"/>
          <w:highlight w:val="none"/>
          <w:lang w:eastAsia="zh-CN"/>
        </w:rPr>
        <w:t>监</w:t>
      </w:r>
      <w:r>
        <w:rPr>
          <w:rFonts w:hint="default" w:ascii="华文宋体" w:hAnsi="华文宋体" w:eastAsia="仿宋_GB2312" w:cs="Times New Roman"/>
          <w:bCs/>
          <w:sz w:val="32"/>
          <w:szCs w:val="32"/>
          <w:highlight w:val="none"/>
        </w:rPr>
        <w:t>字[202</w:t>
      </w:r>
      <w:r>
        <w:rPr>
          <w:rFonts w:hint="eastAsia" w:ascii="华文宋体" w:hAnsi="华文宋体" w:eastAsia="仿宋_GB2312" w:cs="Times New Roman"/>
          <w:bCs/>
          <w:sz w:val="32"/>
          <w:szCs w:val="32"/>
          <w:highlight w:val="none"/>
          <w:lang w:val="en-US" w:eastAsia="zh-CN"/>
        </w:rPr>
        <w:t>4</w:t>
      </w:r>
      <w:r>
        <w:rPr>
          <w:rFonts w:hint="default" w:ascii="华文宋体" w:hAnsi="华文宋体" w:eastAsia="仿宋_GB2312" w:cs="Times New Roman"/>
          <w:bCs/>
          <w:sz w:val="32"/>
          <w:szCs w:val="32"/>
          <w:highlight w:val="none"/>
        </w:rPr>
        <w:t>]</w:t>
      </w:r>
      <w:r>
        <w:rPr>
          <w:rFonts w:hint="eastAsia" w:ascii="华文宋体" w:hAnsi="华文宋体" w:eastAsia="仿宋_GB2312" w:cs="Times New Roman"/>
          <w:bCs/>
          <w:sz w:val="32"/>
          <w:szCs w:val="32"/>
          <w:highlight w:val="none"/>
          <w:lang w:val="en-US" w:eastAsia="zh-CN"/>
        </w:rPr>
        <w:t>4</w:t>
      </w:r>
      <w:r>
        <w:rPr>
          <w:rFonts w:hint="default" w:ascii="华文宋体" w:hAnsi="华文宋体" w:eastAsia="仿宋_GB2312" w:cs="Times New Roman"/>
          <w:bCs/>
          <w:sz w:val="32"/>
          <w:szCs w:val="32"/>
          <w:highlight w:val="none"/>
        </w:rPr>
        <w:t>号）</w:t>
      </w:r>
      <w:r>
        <w:rPr>
          <w:rFonts w:hint="eastAsia" w:ascii="华文宋体" w:hAnsi="华文宋体" w:eastAsia="仿宋_GB2312" w:cs="仿宋_GB2312"/>
          <w:bCs/>
          <w:sz w:val="32"/>
          <w:szCs w:val="32"/>
          <w:highlight w:val="none"/>
          <w:lang w:val="en-US" w:eastAsia="zh-CN"/>
        </w:rPr>
        <w:t>精神</w:t>
      </w:r>
      <w:r>
        <w:rPr>
          <w:rFonts w:hint="eastAsia" w:ascii="华文宋体" w:hAnsi="华文宋体" w:eastAsia="仿宋_GB2312" w:cs="仿宋_GB2312"/>
          <w:bCs/>
          <w:sz w:val="32"/>
          <w:szCs w:val="32"/>
          <w:highlight w:val="none"/>
        </w:rPr>
        <w:t>，</w:t>
      </w:r>
      <w:r>
        <w:rPr>
          <w:rFonts w:hint="eastAsia" w:ascii="华文宋体" w:hAnsi="华文宋体" w:eastAsia="仿宋_GB2312" w:cs="仿宋_GB2312"/>
          <w:bCs/>
          <w:sz w:val="32"/>
          <w:szCs w:val="32"/>
          <w:highlight w:val="none"/>
          <w:lang w:val="en-US" w:eastAsia="zh-CN"/>
        </w:rPr>
        <w:t>经</w:t>
      </w:r>
      <w:r>
        <w:rPr>
          <w:rFonts w:hint="eastAsia" w:ascii="华文宋体" w:hAnsi="华文宋体" w:eastAsia="仿宋_GB2312" w:cs="仿宋_GB2312"/>
          <w:bCs/>
          <w:sz w:val="32"/>
          <w:szCs w:val="32"/>
          <w:highlight w:val="none"/>
        </w:rPr>
        <w:t>对赣州市科技局202</w:t>
      </w:r>
      <w:r>
        <w:rPr>
          <w:rFonts w:hint="eastAsia" w:ascii="华文宋体" w:hAnsi="华文宋体" w:eastAsia="仿宋_GB2312" w:cs="仿宋_GB2312"/>
          <w:bCs/>
          <w:sz w:val="32"/>
          <w:szCs w:val="32"/>
          <w:highlight w:val="none"/>
          <w:lang w:val="en-US" w:eastAsia="zh-CN"/>
        </w:rPr>
        <w:t>3</w:t>
      </w:r>
      <w:r>
        <w:rPr>
          <w:rFonts w:hint="eastAsia" w:ascii="华文宋体" w:hAnsi="华文宋体" w:eastAsia="仿宋_GB2312" w:cs="仿宋_GB2312"/>
          <w:bCs/>
          <w:sz w:val="32"/>
          <w:szCs w:val="32"/>
          <w:highlight w:val="none"/>
        </w:rPr>
        <w:t>年度</w:t>
      </w:r>
      <w:r>
        <w:rPr>
          <w:rFonts w:hint="eastAsia" w:ascii="华文宋体" w:hAnsi="华文宋体" w:eastAsia="仿宋_GB2312" w:cs="仿宋_GB2312"/>
          <w:bCs/>
          <w:sz w:val="32"/>
          <w:szCs w:val="32"/>
          <w:highlight w:val="none"/>
          <w:lang w:eastAsia="zh-CN"/>
        </w:rPr>
        <w:t>部门预算绩效</w:t>
      </w:r>
      <w:r>
        <w:rPr>
          <w:rFonts w:hint="eastAsia" w:ascii="华文宋体" w:hAnsi="华文宋体" w:eastAsia="仿宋_GB2312" w:cs="仿宋_GB2312"/>
          <w:bCs/>
          <w:sz w:val="32"/>
          <w:szCs w:val="32"/>
          <w:highlight w:val="none"/>
        </w:rPr>
        <w:t>进行了</w:t>
      </w:r>
      <w:r>
        <w:rPr>
          <w:rFonts w:hint="eastAsia" w:ascii="华文宋体" w:hAnsi="华文宋体" w:eastAsia="仿宋_GB2312" w:cs="仿宋_GB2312"/>
          <w:bCs/>
          <w:sz w:val="32"/>
          <w:szCs w:val="32"/>
          <w:highlight w:val="none"/>
          <w:lang w:val="en-US" w:eastAsia="zh-CN"/>
        </w:rPr>
        <w:t>认真自查、</w:t>
      </w:r>
      <w:r>
        <w:rPr>
          <w:rFonts w:hint="eastAsia" w:ascii="华文宋体" w:hAnsi="华文宋体" w:eastAsia="仿宋_GB2312" w:cs="仿宋_GB2312"/>
          <w:bCs/>
          <w:sz w:val="32"/>
          <w:szCs w:val="32"/>
          <w:highlight w:val="none"/>
        </w:rPr>
        <w:t>评价。</w:t>
      </w:r>
      <w:r>
        <w:rPr>
          <w:rFonts w:hint="eastAsia" w:ascii="华文宋体" w:hAnsi="华文宋体" w:eastAsia="仿宋_GB2312" w:cs="仿宋_GB2312"/>
          <w:bCs/>
          <w:sz w:val="32"/>
          <w:szCs w:val="32"/>
          <w:highlight w:val="none"/>
          <w:lang w:val="en-US" w:eastAsia="zh-CN"/>
        </w:rPr>
        <w:t>现将有关情况汇报如下：</w:t>
      </w:r>
    </w:p>
    <w:p w14:paraId="32EAC99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sz w:val="32"/>
          <w:szCs w:val="32"/>
          <w:highlight w:val="none"/>
          <w:lang w:eastAsia="zh-CN"/>
        </w:rPr>
      </w:pPr>
      <w:r>
        <w:rPr>
          <w:rFonts w:hint="eastAsia" w:ascii="华文宋体" w:hAnsi="华文宋体" w:eastAsia="仿宋_GB2312"/>
          <w:b/>
          <w:bCs w:val="0"/>
          <w:sz w:val="32"/>
          <w:szCs w:val="32"/>
          <w:highlight w:val="none"/>
        </w:rPr>
        <w:t>（一）</w:t>
      </w:r>
      <w:r>
        <w:rPr>
          <w:rFonts w:hint="eastAsia" w:ascii="华文宋体" w:hAnsi="华文宋体" w:eastAsia="仿宋_GB2312"/>
          <w:b/>
          <w:bCs w:val="0"/>
          <w:sz w:val="32"/>
          <w:szCs w:val="32"/>
          <w:highlight w:val="none"/>
          <w:lang w:eastAsia="zh-CN"/>
        </w:rPr>
        <w:t>“揭榜挂帅”制项目</w:t>
      </w:r>
    </w:p>
    <w:p w14:paraId="215C2939">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2023年依据《关于印发赣州市进一步强化科技创新赋能的若干政策措施的通知》（赣市府办字〔2022〕12号）设立本项目，主要用于“揭榜挂帅”制重大科技项目。</w:t>
      </w:r>
    </w:p>
    <w:p w14:paraId="3F88D5D8">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1.绩效目标实现情况</w:t>
      </w:r>
    </w:p>
    <w:p w14:paraId="50C7373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本项目年度预算2200万元，1～12月计划支出2200万元，实际支出900万元，预算执行率40.9%。对照批复的绩效目标，主要完成2021年“揭榜挂帅”项目验收工作，已兑付1家项目承担单位三期扶持资金150万元；完成2022年“揭榜挂帅”项目中期检查工作，已兑付5家项目承担单位中期项目资金750万元。由于其中两家2021年“揭榜挂帅”制项目扶持企业申请延期验收，经主管业务科室同意后同意延期验收。</w:t>
      </w:r>
    </w:p>
    <w:p w14:paraId="3AE0F319">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目前，2021年“揭榜挂帅”项目终期验收、2022年“揭榜挂帅”项目中期检查工作和2023年“揭榜挂帅”项目立项工作已全部完成，通过市科技局12月20日党组会议题，已顺利完成全年绩效目标及资金拨付。</w:t>
      </w:r>
    </w:p>
    <w:p w14:paraId="4EBA0C27">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2.存在的问题和下一步改进措施</w:t>
      </w:r>
    </w:p>
    <w:p w14:paraId="0756A6A7">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default"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2023年立项的5个揭榜挂帅项目里，其中1个2023年拟扶持企业未及时提交与揭榜方的合同，根据《赣州市揭榜挂帅制项目工作流程》的规定，无法及时拨付资金。导致此项目的整体项目资金2023年拨付执行率较低。</w:t>
      </w:r>
    </w:p>
    <w:p w14:paraId="1DEA4B1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在2024年2月收到合同后，我局已及时将23年5个揭榜挂帅制项目第一期扶持资金共1000万拨付至拟扶持企业。</w:t>
      </w:r>
    </w:p>
    <w:p w14:paraId="4424F15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default" w:ascii="华文宋体" w:hAnsi="华文宋体" w:eastAsia="仿宋_GB2312"/>
          <w:b/>
          <w:bCs w:val="0"/>
          <w:sz w:val="32"/>
          <w:szCs w:val="32"/>
          <w:highlight w:val="none"/>
          <w:lang w:val="en-US" w:eastAsia="zh-CN"/>
        </w:rPr>
      </w:pPr>
      <w:r>
        <w:rPr>
          <w:rFonts w:hint="eastAsia" w:ascii="华文宋体" w:hAnsi="华文宋体" w:eastAsia="仿宋_GB2312"/>
          <w:b/>
          <w:bCs w:val="0"/>
          <w:sz w:val="32"/>
          <w:szCs w:val="32"/>
          <w:highlight w:val="none"/>
        </w:rPr>
        <w:t>（二）</w:t>
      </w:r>
      <w:r>
        <w:rPr>
          <w:rFonts w:hint="eastAsia" w:ascii="华文宋体" w:hAnsi="华文宋体" w:eastAsia="仿宋_GB2312"/>
          <w:b/>
          <w:bCs w:val="0"/>
          <w:sz w:val="32"/>
          <w:szCs w:val="32"/>
          <w:highlight w:val="none"/>
          <w:lang w:val="en-US" w:eastAsia="zh-CN"/>
        </w:rPr>
        <w:t>2023年度市科技创新赋能行动专项工作经费</w:t>
      </w:r>
    </w:p>
    <w:p w14:paraId="31190F20">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lang w:val="en-US" w:eastAsia="zh-CN"/>
        </w:rPr>
      </w:pPr>
      <w:r>
        <w:rPr>
          <w:rFonts w:hint="eastAsia" w:ascii="华文宋体" w:hAnsi="华文宋体" w:eastAsia="仿宋_GB2312"/>
          <w:sz w:val="32"/>
          <w:szCs w:val="32"/>
          <w:highlight w:val="none"/>
          <w:lang w:val="en-US" w:eastAsia="zh-CN"/>
        </w:rPr>
        <w:t>2023年依据市委、市政府办公室《关于建立市“八大行动”协调推进工作机制的通知》（赣市办字〔2021〕25号）安排设立本项目，负责全市创新驱动高质量发展工作的推进实施、督导考核，主要用于工作宣传、会议、督查和日常办公运行。</w:t>
      </w:r>
    </w:p>
    <w:p w14:paraId="51A8EC3B">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lang w:val="en-US" w:eastAsia="zh-CN"/>
        </w:rPr>
      </w:pPr>
      <w:r>
        <w:rPr>
          <w:rFonts w:hint="eastAsia" w:ascii="华文宋体" w:hAnsi="华文宋体" w:eastAsia="仿宋_GB2312"/>
          <w:sz w:val="32"/>
          <w:szCs w:val="32"/>
          <w:highlight w:val="none"/>
          <w:lang w:val="en-US" w:eastAsia="zh-CN"/>
        </w:rPr>
        <w:t>1.绩效目标实现情况</w:t>
      </w:r>
    </w:p>
    <w:p w14:paraId="7ED1DDA7">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lang w:val="en-US" w:eastAsia="zh-CN"/>
        </w:rPr>
      </w:pPr>
      <w:r>
        <w:rPr>
          <w:rFonts w:hint="eastAsia" w:ascii="华文宋体" w:hAnsi="华文宋体" w:eastAsia="仿宋_GB2312"/>
          <w:sz w:val="32"/>
          <w:szCs w:val="32"/>
          <w:highlight w:val="none"/>
          <w:lang w:val="en-US" w:eastAsia="zh-CN"/>
        </w:rPr>
        <w:t>本项目年度预算30万元，1～12月计划支出30万元，实际支出21.62万元，预算执行率77.21%。由于财政拨付资金具有滞后性，我局于2023年7月14日收到财政拨付的2023年度市科技创新赋能行动专项工作经费共计28万元。为筹备2024年全市科技创新大会，从23年工作经费中预留了部分经费用于会议筹备等工作。对照批复的绩效目标，主要完成召开科技创新赋能会议、开展县（市、区）调研等工作，共召开3次会议，开展2次督导工作，形成4篇调研报告。</w:t>
      </w:r>
    </w:p>
    <w:p w14:paraId="3B87832F">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lang w:val="en-US" w:eastAsia="zh-CN"/>
        </w:rPr>
      </w:pPr>
      <w:r>
        <w:rPr>
          <w:rFonts w:hint="eastAsia" w:ascii="华文宋体" w:hAnsi="华文宋体" w:eastAsia="仿宋_GB2312"/>
          <w:sz w:val="32"/>
          <w:szCs w:val="32"/>
          <w:highlight w:val="none"/>
          <w:lang w:val="en-US" w:eastAsia="zh-CN"/>
        </w:rPr>
        <w:t>2.存在的问题和下一步改进措施</w:t>
      </w:r>
    </w:p>
    <w:p w14:paraId="4A7964E0">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lang w:val="en-US" w:eastAsia="zh-CN"/>
        </w:rPr>
      </w:pPr>
      <w:r>
        <w:rPr>
          <w:rFonts w:hint="eastAsia" w:ascii="华文宋体" w:hAnsi="华文宋体" w:eastAsia="仿宋_GB2312"/>
          <w:sz w:val="32"/>
          <w:szCs w:val="32"/>
          <w:highlight w:val="none"/>
          <w:lang w:val="en-US" w:eastAsia="zh-CN"/>
        </w:rPr>
        <w:t>无</w:t>
      </w:r>
    </w:p>
    <w:p w14:paraId="4F67717D">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sz w:val="32"/>
          <w:szCs w:val="32"/>
          <w:highlight w:val="none"/>
          <w:lang w:eastAsia="zh-CN"/>
        </w:rPr>
      </w:pPr>
      <w:r>
        <w:rPr>
          <w:rFonts w:hint="eastAsia" w:ascii="华文宋体" w:hAnsi="华文宋体" w:eastAsia="仿宋_GB2312"/>
          <w:b/>
          <w:bCs w:val="0"/>
          <w:sz w:val="32"/>
          <w:szCs w:val="32"/>
          <w:highlight w:val="none"/>
        </w:rPr>
        <w:t>（</w:t>
      </w:r>
      <w:r>
        <w:rPr>
          <w:rFonts w:hint="eastAsia" w:ascii="华文宋体" w:hAnsi="华文宋体" w:eastAsia="仿宋_GB2312"/>
          <w:b/>
          <w:bCs w:val="0"/>
          <w:sz w:val="32"/>
          <w:szCs w:val="32"/>
          <w:highlight w:val="none"/>
          <w:lang w:eastAsia="zh-CN"/>
        </w:rPr>
        <w:t>三</w:t>
      </w:r>
      <w:r>
        <w:rPr>
          <w:rFonts w:hint="eastAsia" w:ascii="华文宋体" w:hAnsi="华文宋体" w:eastAsia="仿宋_GB2312"/>
          <w:b/>
          <w:bCs w:val="0"/>
          <w:sz w:val="32"/>
          <w:szCs w:val="32"/>
          <w:highlight w:val="none"/>
        </w:rPr>
        <w:t>）</w:t>
      </w:r>
      <w:r>
        <w:rPr>
          <w:rFonts w:hint="eastAsia" w:ascii="华文宋体" w:hAnsi="华文宋体" w:eastAsia="仿宋_GB2312"/>
          <w:b/>
          <w:bCs w:val="0"/>
          <w:sz w:val="32"/>
          <w:szCs w:val="32"/>
          <w:highlight w:val="none"/>
          <w:lang w:eastAsia="zh-CN"/>
        </w:rPr>
        <w:t>赣州市产业技术研究院运营经费</w:t>
      </w:r>
    </w:p>
    <w:p w14:paraId="5C2A2A7A">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2023年依据《赣州市产业技术研究院组建工作方案》设立本项目，主要用于完成《赣州市产业技术研究院2023年工作计划》中确定的相关年度重点工作。</w:t>
      </w:r>
    </w:p>
    <w:p w14:paraId="4B0B4A05">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1.绩效目标实现情况</w:t>
      </w:r>
    </w:p>
    <w:p w14:paraId="41993E91">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2023年度赣州市产研院主要完成工作包括，一是组织体系构建完成、人员队伍不断充实、相关管理制度持续完善，日常运行管理工作有序开展。二是完成对赣州市18个县（市、区）的实地调研，走访近100家重点企业、30余家技术创新平台机构，收集汇总80余家企业的技术需求、1200余条有关产业发展和技术创新的指标数据。已形成生物医药、电子信息、有色金属（稀土）3个重点产业调研报告。三是系统开展科技创新资源调查研究及科技创新机构评估评审。汇总企业技术需求80余项，编制完成《赣州市科技创新资源调查研究报告》。四是高质量开展企业科技创新赋能服务。支撑完成“县级龙头企业科技费用填报辅导服务”工作，有效促进了企业科技费用填报质量。五是积极对接引入科技创新资源。与北京理工大学、中科院地理科学与资源研究所、深圳计算科学研究院、电子科技大学深思实验等科研团队开展产业技术创新供需对接交流，推动落地赣州组建通用人工智能（赣州）研究院。六是持续深入开展新兴产业布局与创新发展路径等重点研究。重点开展《赣州市新兴产业布局与创新发展路径研究》《新时期增强赣州市产业创新驱动力的对策研究》等课题研究。七是推动重点产业交流对接与产业转移合作。召开“赣州市锂电新能源产业创新发展大会暨产业转移对接活动”。工业和信息化部高新技术司、产业政策与法规司有关领导出席会议，全国锂电行业专家、企业家、金融投资界人士200余人参加，共达成新能源汽车锂电池综合回收利用等6个签约项目。</w:t>
      </w:r>
    </w:p>
    <w:p w14:paraId="51795B2F">
      <w:pPr>
        <w:keepNext w:val="0"/>
        <w:keepLines w:val="0"/>
        <w:pageBreakBefore w:val="0"/>
        <w:kinsoku/>
        <w:wordWrap/>
        <w:overflowPunct/>
        <w:topLinePunct w:val="0"/>
        <w:autoSpaceDE/>
        <w:autoSpaceDN/>
        <w:bidi w:val="0"/>
        <w:spacing w:line="560" w:lineRule="exact"/>
        <w:ind w:firstLine="632" w:firstLineChars="200"/>
        <w:rPr>
          <w:rFonts w:hint="default"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2.运营经费使用情况</w:t>
      </w:r>
    </w:p>
    <w:p w14:paraId="5ABFF117">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本项目年度预算500万元，1～12月计划支出500万元，实际支出500万元，预算执行率100%。其中，2023年4月，赣州市产业技术研究院第一届理事会召开，会议审议通过《赣州市产业技术研究院2023年重点工作和预算表》，拨付50%运营经费补助250万元，2023年12月，赣州市产业技术研究院顺利通过2023年度工作绩效评价考核，拨付剩余50%运营经费补助250万元。</w:t>
      </w:r>
    </w:p>
    <w:p w14:paraId="65A3DA3E">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3.存在的问题和下一步改进措施</w:t>
      </w:r>
    </w:p>
    <w:p w14:paraId="75B0C070">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bCs/>
          <w:kern w:val="2"/>
          <w:sz w:val="32"/>
          <w:szCs w:val="32"/>
          <w:highlight w:val="none"/>
          <w:lang w:val="en-US" w:eastAsia="zh-CN" w:bidi="ar-SA"/>
        </w:rPr>
      </w:pPr>
      <w:r>
        <w:rPr>
          <w:rFonts w:hint="eastAsia" w:ascii="华文宋体" w:hAnsi="华文宋体" w:eastAsia="仿宋_GB2312" w:cs="Times New Roman"/>
          <w:bCs/>
          <w:kern w:val="2"/>
          <w:sz w:val="32"/>
          <w:szCs w:val="32"/>
          <w:highlight w:val="none"/>
          <w:lang w:val="en-US" w:eastAsia="zh-CN" w:bidi="ar-SA"/>
        </w:rPr>
        <w:t>下一步，市产研院将立足赣州市“7510”行动计划，进一步贯彻落实科技创新赋能行动，围绕赣州市科技成果转化年相关部署，以“面向需求、系统赋能、服务产业”为2024年工作主线，持续深化开展重点问题研究，进一步加强智库能力建设，切实推进科技创新资源对接引入，积极布局落地院属应用机构，合力推动提升创新服务要素供给质量水平，以科技创新引领现代化产业体系建设，加快培育形成新质生产力，不断增强赣州市高质量发展新动能。</w:t>
      </w:r>
    </w:p>
    <w:p w14:paraId="33FED0C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val="en-US" w:eastAsia="zh-CN"/>
        </w:rPr>
        <w:t>（四）</w:t>
      </w:r>
      <w:r>
        <w:rPr>
          <w:rFonts w:hint="eastAsia" w:ascii="华文宋体" w:hAnsi="华文宋体" w:eastAsia="仿宋_GB2312" w:cs="Times New Roman"/>
          <w:b/>
          <w:bCs w:val="0"/>
          <w:color w:val="auto"/>
          <w:sz w:val="32"/>
          <w:szCs w:val="32"/>
          <w:highlight w:val="none"/>
          <w:lang w:eastAsia="zh-CN"/>
        </w:rPr>
        <w:t>赣州市工业数字研究院2023年度补助经费</w:t>
      </w:r>
    </w:p>
    <w:p w14:paraId="3E9BF854">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2023年依据《赣州市工业数字研究院共建合作协议》设立本项目，主要用于完成《赣州市工业数字研究院2023年工作计划》中确定的相关年度重点工作。</w:t>
      </w:r>
    </w:p>
    <w:p w14:paraId="05E12F34">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1.绩效目标实现情况</w:t>
      </w:r>
    </w:p>
    <w:p w14:paraId="4AE92CBE">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本项目年度预算500万元，1～12月计划支出500万元，实际支出500万元，实际到账时间为12月，预算执行率100%。对照批复的绩效目标，主要完成1.研究院创新平台建设，建设并用好9000平方米实体化院士专家成果转化平台，组建30人的核心技术人才团队（包括8名研究生以上学历人才），初步形成“一院五中心”的产业服务平台，并成功与4个院士专家团队达成合作、聘请3名行业专家，促进技术创新融合运用发展。2.产业数字化新场景示范，建成了赣州市产业大脑，逐步实现对赣州县域产业大脑的示范引领，完成了现代家具、氟盐新材、铜基新材、竹木新材的产业大脑示范，力争在江西省的产业大脑示范中增添更多优秀案例，同时也打造了“细妹子”产业智慧体，实现数据和智算的AIGC共享。3.数字产业化新产品示范，以打造“人才创新港”为目标，建成4000平方米实训基地及1800平方米人才路演大厅，编撰数字技术实用课程，陆续开展人才培训；并推动会昌、崇义、南康等县域产业发展成为数实融合产业发展标杆。4.数字基础设施示范，建成3个县域产业数字大脑，与市级产业大脑“云-边-端”链接，实现工业网络实时互联互通。同时赣州工研院还获得了工信部轻工业联合会科学技术进步一等奖、国家级消费品行业工业互联网数字化转型促进中心试点单位等省部级荣誉9项、市级荣誉17项。</w:t>
      </w:r>
    </w:p>
    <w:p w14:paraId="66CF594E">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sz w:val="32"/>
          <w:szCs w:val="32"/>
          <w:highlight w:val="none"/>
          <w:lang w:val="en-US" w:eastAsia="zh-CN"/>
        </w:rPr>
      </w:pPr>
      <w:r>
        <w:rPr>
          <w:rFonts w:hint="eastAsia" w:ascii="华文宋体" w:hAnsi="华文宋体" w:eastAsia="仿宋_GB2312" w:cs="Times New Roman"/>
          <w:sz w:val="32"/>
          <w:szCs w:val="32"/>
          <w:highlight w:val="none"/>
          <w:lang w:val="en-US" w:eastAsia="zh-CN"/>
        </w:rPr>
        <w:t>2.存在的问题和下一步改进措施</w:t>
      </w:r>
    </w:p>
    <w:p w14:paraId="2463E4D8">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s="Times New Roman"/>
          <w:sz w:val="32"/>
          <w:szCs w:val="32"/>
          <w:highlight w:val="yellow"/>
          <w:lang w:val="en-US" w:eastAsia="zh-CN"/>
        </w:rPr>
      </w:pPr>
      <w:r>
        <w:rPr>
          <w:rFonts w:hint="eastAsia" w:ascii="华文宋体" w:hAnsi="华文宋体" w:eastAsia="仿宋_GB2312" w:cs="Times New Roman"/>
          <w:sz w:val="32"/>
          <w:szCs w:val="32"/>
          <w:highlight w:val="none"/>
          <w:lang w:val="en-US" w:eastAsia="zh-CN"/>
        </w:rPr>
        <w:t>目前，赣州市产业大脑建设初见成效，要开放共享产业大脑和AI助手平台，吸引和引导更多企业使用，重点产业调研报告、年度重点课题等研究性工作持续推进。</w:t>
      </w:r>
    </w:p>
    <w:p w14:paraId="07FE42C2">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none"/>
          <w:lang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五</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科技计划专项资金</w:t>
      </w:r>
    </w:p>
    <w:p w14:paraId="4F65D9BD">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left"/>
        <w:textAlignment w:val="auto"/>
        <w:rPr>
          <w:rFonts w:hint="eastAsia" w:ascii="华文宋体" w:hAnsi="华文宋体" w:eastAsia="仿宋_GB2312" w:cs="Times New Roman"/>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2023</w:t>
      </w:r>
      <w:r>
        <w:rPr>
          <w:rFonts w:hint="eastAsia" w:ascii="华文宋体" w:hAnsi="华文宋体" w:eastAsia="仿宋_GB2312"/>
          <w:color w:val="auto"/>
          <w:sz w:val="32"/>
          <w:szCs w:val="32"/>
          <w:highlight w:val="none"/>
        </w:rPr>
        <w:t>年</w:t>
      </w:r>
      <w:r>
        <w:rPr>
          <w:rFonts w:hint="eastAsia" w:ascii="华文宋体" w:hAnsi="华文宋体" w:eastAsia="仿宋_GB2312" w:cs="Times New Roman"/>
          <w:color w:val="auto"/>
          <w:sz w:val="32"/>
          <w:szCs w:val="32"/>
          <w:highlight w:val="none"/>
          <w:lang w:val="en-US" w:eastAsia="zh-CN"/>
        </w:rPr>
        <w:t>依据《赣州市人民政府关于深化市级财政科技计划（专项、基金等）管理改革的实施意见》（赣市府发〔2016〕14号）</w:t>
      </w:r>
      <w:r>
        <w:rPr>
          <w:rFonts w:hint="eastAsia" w:ascii="华文宋体" w:hAnsi="华文宋体" w:eastAsia="仿宋_GB2312"/>
          <w:color w:val="auto"/>
          <w:sz w:val="32"/>
          <w:szCs w:val="32"/>
          <w:highlight w:val="none"/>
        </w:rPr>
        <w:t>设立本项目，主要用于</w:t>
      </w:r>
      <w:r>
        <w:rPr>
          <w:rFonts w:hint="eastAsia" w:ascii="华文宋体" w:hAnsi="华文宋体" w:eastAsia="仿宋_GB2312"/>
          <w:color w:val="auto"/>
          <w:sz w:val="32"/>
          <w:szCs w:val="32"/>
          <w:highlight w:val="none"/>
          <w:lang w:val="en-US" w:eastAsia="zh-CN"/>
        </w:rPr>
        <w:t>2023年度</w:t>
      </w:r>
      <w:r>
        <w:rPr>
          <w:rFonts w:hint="eastAsia" w:ascii="华文宋体" w:hAnsi="华文宋体" w:eastAsia="仿宋_GB2312" w:cs="Times New Roman"/>
          <w:color w:val="auto"/>
          <w:sz w:val="32"/>
          <w:szCs w:val="32"/>
          <w:highlight w:val="none"/>
          <w:lang w:val="en-US" w:eastAsia="zh-CN"/>
        </w:rPr>
        <w:t>市级科技计划专项重点研发计划重点项目、重点研发计划一般项目、科技创新人才项目、“科技+医疗”联合计划项目。</w:t>
      </w:r>
    </w:p>
    <w:p w14:paraId="50E11765">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1</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绩效目标实现情况</w:t>
      </w:r>
    </w:p>
    <w:p w14:paraId="186A385C">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default"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rPr>
        <w:t>本项目年度预算</w:t>
      </w:r>
      <w:r>
        <w:rPr>
          <w:rFonts w:hint="eastAsia" w:ascii="华文宋体" w:hAnsi="华文宋体" w:eastAsia="仿宋_GB2312"/>
          <w:color w:val="auto"/>
          <w:sz w:val="32"/>
          <w:szCs w:val="32"/>
          <w:highlight w:val="none"/>
          <w:lang w:val="en-US" w:eastAsia="zh-CN"/>
        </w:rPr>
        <w:t>923</w:t>
      </w:r>
      <w:r>
        <w:rPr>
          <w:rFonts w:hint="eastAsia" w:ascii="华文宋体" w:hAnsi="华文宋体" w:eastAsia="仿宋_GB2312"/>
          <w:color w:val="auto"/>
          <w:sz w:val="32"/>
          <w:szCs w:val="32"/>
          <w:highlight w:val="none"/>
        </w:rPr>
        <w:t>万元，</w:t>
      </w:r>
      <w:r>
        <w:rPr>
          <w:rFonts w:ascii="华文宋体" w:hAnsi="华文宋体" w:eastAsia="仿宋_GB2312"/>
          <w:color w:val="auto"/>
          <w:sz w:val="32"/>
          <w:szCs w:val="32"/>
          <w:highlight w:val="none"/>
        </w:rPr>
        <w:t>1</w:t>
      </w:r>
      <w:r>
        <w:rPr>
          <w:rFonts w:hint="eastAsia"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lang w:val="en-US" w:eastAsia="zh-CN"/>
        </w:rPr>
        <w:t>12</w:t>
      </w:r>
      <w:r>
        <w:rPr>
          <w:rFonts w:hint="eastAsia" w:ascii="华文宋体" w:hAnsi="华文宋体" w:eastAsia="仿宋_GB2312"/>
          <w:color w:val="auto"/>
          <w:sz w:val="32"/>
          <w:szCs w:val="32"/>
          <w:highlight w:val="none"/>
        </w:rPr>
        <w:t>月计划支出</w:t>
      </w:r>
      <w:r>
        <w:rPr>
          <w:rFonts w:hint="eastAsia" w:ascii="华文宋体" w:hAnsi="华文宋体" w:eastAsia="仿宋_GB2312"/>
          <w:color w:val="auto"/>
          <w:sz w:val="32"/>
          <w:szCs w:val="32"/>
          <w:highlight w:val="none"/>
          <w:lang w:val="en-US" w:eastAsia="zh-CN"/>
        </w:rPr>
        <w:t>923</w:t>
      </w:r>
      <w:r>
        <w:rPr>
          <w:rFonts w:hint="eastAsia" w:ascii="华文宋体" w:hAnsi="华文宋体" w:eastAsia="仿宋_GB2312"/>
          <w:color w:val="auto"/>
          <w:sz w:val="32"/>
          <w:szCs w:val="32"/>
          <w:highlight w:val="none"/>
        </w:rPr>
        <w:t>万元，</w:t>
      </w:r>
      <w:r>
        <w:rPr>
          <w:rFonts w:hint="eastAsia" w:ascii="华文宋体" w:hAnsi="华文宋体" w:eastAsia="仿宋_GB2312"/>
          <w:color w:val="auto"/>
          <w:sz w:val="32"/>
          <w:szCs w:val="32"/>
          <w:highlight w:val="none"/>
          <w:lang w:val="en-US" w:eastAsia="zh-CN"/>
        </w:rPr>
        <w:t>12月底已全部拨付至市管单位和县市区。经由我局拨付的金额为266万元，其余资金皆有市财政拨至县市区财政，再由县市区科技管理部门牵头对接县市区财政拨付至项目承担单位。各项指标完成良好</w:t>
      </w:r>
    </w:p>
    <w:p w14:paraId="20F76538">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2</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存在的问题和下一步改进措施</w:t>
      </w:r>
    </w:p>
    <w:p w14:paraId="7A11120E">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eastAsia="zh-CN"/>
        </w:rPr>
      </w:pPr>
      <w:r>
        <w:rPr>
          <w:rFonts w:hint="eastAsia" w:ascii="华文宋体" w:hAnsi="华文宋体" w:eastAsia="仿宋_GB2312"/>
          <w:color w:val="auto"/>
          <w:sz w:val="32"/>
          <w:szCs w:val="32"/>
          <w:highlight w:val="none"/>
          <w:lang w:eastAsia="zh-CN"/>
        </w:rPr>
        <w:t>无</w:t>
      </w:r>
    </w:p>
    <w:p w14:paraId="446AD03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（六）2023年度科技管理专项经费</w:t>
      </w:r>
    </w:p>
    <w:p w14:paraId="25BE0907">
      <w:pPr>
        <w:pStyle w:val="19"/>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1.绩效目标实现情况</w:t>
      </w:r>
    </w:p>
    <w:p w14:paraId="1DE34D03">
      <w:pPr>
        <w:pStyle w:val="19"/>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2023年度科技管理专项经费财政共计拨付204万元，其中包括科技计划项目评审管理费54万元，科技平台和人才项目以及科技数据统计调查分析费36万元，支持赣江院机构安全防控体系建设资金35万元，科技特派员行动及科技下乡专项经费40万元，科技成果智库建设及科技企业扶持培训等经费39万元。</w:t>
      </w:r>
    </w:p>
    <w:p w14:paraId="445B68E4">
      <w:pPr>
        <w:pStyle w:val="20"/>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截止2023年12月底，科技计划项目评审管理费用使用41.166292万元，评审企业数量达到635项；科技平台和人才项目以及科技数据统计调查分析费使用26.17594万元；支持赣江院机构安全防控体系建设资金使用35万元，使用率达到100%；科技特派员行动及科技下乡专项经费使用20万元，参与帮扶特派员数量及被帮扶对象收入等指标均达标；科技成果智库建设及科技企业扶持培训等经费未使用。</w:t>
      </w:r>
    </w:p>
    <w:p w14:paraId="51C840DB">
      <w:pPr>
        <w:pStyle w:val="20"/>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金额整体使用率达到61.93%，拨付对象政策符合率100%。</w:t>
      </w:r>
    </w:p>
    <w:p w14:paraId="0BD1F034">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2</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存在的问题和下一步改进措施</w:t>
      </w:r>
    </w:p>
    <w:p w14:paraId="2C842547">
      <w:pPr>
        <w:pStyle w:val="20"/>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由于有些活动的开展跨时间较长，所以2023年资金并未完全拨付使用。</w:t>
      </w:r>
    </w:p>
    <w:p w14:paraId="07CD6475">
      <w:pPr>
        <w:pStyle w:val="20"/>
        <w:keepNext w:val="0"/>
        <w:keepLines w:val="0"/>
        <w:pageBreakBefore w:val="0"/>
        <w:kinsoku/>
        <w:wordWrap/>
        <w:overflowPunct/>
        <w:topLinePunct w:val="0"/>
        <w:autoSpaceDE/>
        <w:autoSpaceDN/>
        <w:bidi w:val="0"/>
        <w:spacing w:line="560" w:lineRule="exact"/>
        <w:rPr>
          <w:rFonts w:hint="default"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资金已于2024年初全部使用完。</w:t>
      </w:r>
    </w:p>
    <w:p w14:paraId="67771266">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none"/>
          <w:lang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七</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省级科技专项（研发投入后补助资金）</w:t>
      </w:r>
    </w:p>
    <w:p w14:paraId="49AF0A6C">
      <w:pPr>
        <w:keepNext w:val="0"/>
        <w:keepLines w:val="0"/>
        <w:pageBreakBefore w:val="0"/>
        <w:kinsoku/>
        <w:wordWrap/>
        <w:overflowPunct/>
        <w:topLinePunct w:val="0"/>
        <w:autoSpaceDE/>
        <w:autoSpaceDN/>
        <w:bidi w:val="0"/>
        <w:adjustRightInd/>
        <w:snapToGrid/>
        <w:spacing w:line="560" w:lineRule="exact"/>
        <w:ind w:firstLine="632" w:firstLineChars="200"/>
        <w:jc w:val="left"/>
        <w:textAlignment w:val="auto"/>
        <w:rPr>
          <w:rFonts w:hint="eastAsia" w:ascii="华文宋体" w:hAnsi="华文宋体" w:eastAsia="仿宋_GB2312" w:cs="Times New Roman"/>
          <w:color w:val="auto"/>
          <w:sz w:val="32"/>
          <w:szCs w:val="32"/>
          <w:highlight w:val="yellow"/>
          <w:lang w:val="en-US" w:eastAsia="zh-CN"/>
        </w:rPr>
      </w:pPr>
      <w:r>
        <w:rPr>
          <w:rFonts w:hint="eastAsia" w:ascii="华文宋体" w:hAnsi="华文宋体" w:eastAsia="仿宋_GB2312"/>
          <w:color w:val="auto"/>
          <w:sz w:val="32"/>
          <w:szCs w:val="32"/>
          <w:highlight w:val="none"/>
          <w:lang w:val="en-US" w:eastAsia="zh-CN"/>
        </w:rPr>
        <w:t>2023</w:t>
      </w:r>
      <w:r>
        <w:rPr>
          <w:rFonts w:hint="eastAsia" w:ascii="华文宋体" w:hAnsi="华文宋体" w:eastAsia="仿宋_GB2312"/>
          <w:color w:val="auto"/>
          <w:sz w:val="32"/>
          <w:szCs w:val="32"/>
          <w:highlight w:val="none"/>
        </w:rPr>
        <w:t>年依据</w:t>
      </w:r>
      <w:r>
        <w:rPr>
          <w:rFonts w:hint="eastAsia" w:ascii="华文宋体" w:hAnsi="华文宋体" w:eastAsia="仿宋_GB2312" w:cs="华文仿宋"/>
          <w:color w:val="000000"/>
          <w:kern w:val="0"/>
          <w:sz w:val="32"/>
          <w:szCs w:val="32"/>
          <w:highlight w:val="none"/>
          <w:lang w:val="en-US" w:eastAsia="zh-CN" w:bidi="ar"/>
        </w:rPr>
        <w:t>《江西省科</w:t>
      </w:r>
      <w:r>
        <w:rPr>
          <w:rFonts w:hint="eastAsia" w:ascii="华文宋体" w:hAnsi="华文宋体" w:eastAsia="仿宋_GB2312" w:cs="华文仿宋"/>
          <w:color w:val="000000"/>
          <w:kern w:val="0"/>
          <w:sz w:val="32"/>
          <w:szCs w:val="32"/>
          <w:lang w:val="en-US" w:eastAsia="zh-CN" w:bidi="ar"/>
        </w:rPr>
        <w:t>学技术厅关于下达2023年省级科技专项资金（科技计划提前批省直单位、科技计划第一批）项目的通知》（赣科发计字〔2023〕52号</w:t>
      </w:r>
      <w:r>
        <w:rPr>
          <w:rFonts w:hint="eastAsia" w:ascii="华文宋体" w:hAnsi="华文宋体" w:eastAsia="仿宋_GB2312" w:cs="华文仿宋"/>
          <w:color w:val="000000"/>
          <w:kern w:val="0"/>
          <w:sz w:val="32"/>
          <w:szCs w:val="32"/>
          <w:highlight w:val="none"/>
          <w:lang w:val="en-US" w:eastAsia="zh-CN" w:bidi="ar"/>
        </w:rPr>
        <w:t>）</w:t>
      </w:r>
      <w:r>
        <w:rPr>
          <w:rFonts w:hint="eastAsia" w:ascii="华文宋体" w:hAnsi="华文宋体" w:eastAsia="仿宋_GB2312" w:cs="Times New Roman"/>
          <w:color w:val="auto"/>
          <w:sz w:val="32"/>
          <w:szCs w:val="32"/>
          <w:highlight w:val="none"/>
          <w:lang w:val="en-US" w:eastAsia="zh-CN"/>
        </w:rPr>
        <w:t>设立本项目，主要用于</w:t>
      </w:r>
      <w:r>
        <w:rPr>
          <w:rFonts w:hint="default" w:ascii="华文宋体" w:hAnsi="华文宋体" w:eastAsia="仿宋_GB2312" w:cs="Times New Roman"/>
          <w:b w:val="0"/>
          <w:bCs w:val="0"/>
          <w:color w:val="auto"/>
          <w:sz w:val="32"/>
          <w:szCs w:val="32"/>
          <w:highlight w:val="none"/>
        </w:rPr>
        <w:t>用于奖补给本辖区内研发投入总量较大、增幅较高，且相关国家科技统计报表质量较高的</w:t>
      </w:r>
      <w:r>
        <w:rPr>
          <w:rFonts w:hint="default" w:ascii="华文宋体" w:hAnsi="华文宋体" w:eastAsia="仿宋_GB2312" w:cs="Times New Roman"/>
          <w:b w:val="0"/>
          <w:bCs w:val="0"/>
          <w:color w:val="auto"/>
          <w:sz w:val="32"/>
          <w:szCs w:val="32"/>
          <w:highlight w:val="none"/>
          <w:lang w:eastAsia="zh-CN"/>
        </w:rPr>
        <w:t>单位</w:t>
      </w:r>
      <w:r>
        <w:rPr>
          <w:rFonts w:hint="default" w:ascii="华文宋体" w:hAnsi="华文宋体" w:eastAsia="仿宋_GB2312" w:cs="Times New Roman"/>
          <w:b w:val="0"/>
          <w:bCs w:val="0"/>
          <w:color w:val="auto"/>
          <w:sz w:val="32"/>
          <w:szCs w:val="32"/>
          <w:highlight w:val="none"/>
        </w:rPr>
        <w:t>，</w:t>
      </w:r>
      <w:r>
        <w:rPr>
          <w:rFonts w:hint="default" w:ascii="华文宋体" w:hAnsi="华文宋体" w:eastAsia="仿宋_GB2312" w:cs="Times New Roman"/>
          <w:b w:val="0"/>
          <w:bCs w:val="0"/>
          <w:color w:val="auto"/>
          <w:sz w:val="32"/>
          <w:szCs w:val="32"/>
          <w:highlight w:val="none"/>
          <w:lang w:eastAsia="zh-CN"/>
        </w:rPr>
        <w:t>单位</w:t>
      </w:r>
      <w:r>
        <w:rPr>
          <w:rFonts w:hint="default" w:ascii="华文宋体" w:hAnsi="华文宋体" w:eastAsia="仿宋_GB2312" w:cs="Times New Roman"/>
          <w:b w:val="0"/>
          <w:bCs w:val="0"/>
          <w:color w:val="auto"/>
          <w:sz w:val="32"/>
          <w:szCs w:val="32"/>
          <w:highlight w:val="none"/>
        </w:rPr>
        <w:t>获得该项资金用于从事后续研发项目、平台建设和人才团队培养等活动</w:t>
      </w:r>
      <w:r>
        <w:rPr>
          <w:rFonts w:hint="default" w:ascii="华文宋体" w:hAnsi="华文宋体" w:eastAsia="仿宋_GB2312" w:cs="Times New Roman"/>
          <w:b w:val="0"/>
          <w:bCs w:val="0"/>
          <w:color w:val="auto"/>
          <w:sz w:val="32"/>
          <w:szCs w:val="32"/>
          <w:highlight w:val="none"/>
          <w:lang w:eastAsia="zh-CN"/>
        </w:rPr>
        <w:t>。</w:t>
      </w:r>
    </w:p>
    <w:p w14:paraId="725A9191">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1</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绩效目标实现情况</w:t>
      </w:r>
    </w:p>
    <w:p w14:paraId="2AE46D55">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本项目</w:t>
      </w:r>
      <w:r>
        <w:rPr>
          <w:rFonts w:hint="eastAsia" w:ascii="华文宋体" w:hAnsi="华文宋体" w:eastAsia="仿宋_GB2312"/>
          <w:color w:val="auto"/>
          <w:sz w:val="32"/>
          <w:szCs w:val="32"/>
          <w:highlight w:val="none"/>
          <w:lang w:val="en-US" w:eastAsia="zh-CN"/>
        </w:rPr>
        <w:t>210</w:t>
      </w:r>
      <w:r>
        <w:rPr>
          <w:rFonts w:hint="eastAsia" w:ascii="华文宋体" w:hAnsi="华文宋体" w:eastAsia="仿宋_GB2312"/>
          <w:color w:val="auto"/>
          <w:sz w:val="32"/>
          <w:szCs w:val="32"/>
          <w:highlight w:val="none"/>
        </w:rPr>
        <w:t>万元，</w:t>
      </w:r>
      <w:r>
        <w:rPr>
          <w:rFonts w:hint="eastAsia" w:ascii="华文宋体" w:hAnsi="华文宋体" w:eastAsia="仿宋_GB2312"/>
          <w:color w:val="auto"/>
          <w:sz w:val="32"/>
          <w:szCs w:val="32"/>
          <w:highlight w:val="none"/>
          <w:lang w:eastAsia="zh-CN"/>
        </w:rPr>
        <w:t>截止</w:t>
      </w:r>
      <w:r>
        <w:rPr>
          <w:rFonts w:hint="eastAsia" w:ascii="华文宋体" w:hAnsi="华文宋体" w:eastAsia="仿宋_GB2312"/>
          <w:color w:val="auto"/>
          <w:sz w:val="32"/>
          <w:szCs w:val="32"/>
          <w:highlight w:val="none"/>
          <w:lang w:val="en-US" w:eastAsia="zh-CN"/>
        </w:rPr>
        <w:t>12月底，资金已使用201.12219万元，使用率达到95.77%，部分指标完成。</w:t>
      </w:r>
    </w:p>
    <w:p w14:paraId="2800FFE2">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2</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存在的问题和下一步改进措施</w:t>
      </w:r>
    </w:p>
    <w:p w14:paraId="3D690882">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2022年我市全社会研发投入强度未超过全省平均水平。</w:t>
      </w:r>
    </w:p>
    <w:p w14:paraId="2B818A57">
      <w:pPr>
        <w:keepNext w:val="0"/>
        <w:keepLines w:val="0"/>
        <w:pageBreakBefore w:val="0"/>
        <w:kinsoku/>
        <w:wordWrap/>
        <w:overflowPunct/>
        <w:topLinePunct w:val="0"/>
        <w:autoSpaceDE/>
        <w:autoSpaceDN/>
        <w:bidi w:val="0"/>
        <w:spacing w:line="560" w:lineRule="exact"/>
        <w:ind w:firstLine="632" w:firstLineChars="200"/>
        <w:rPr>
          <w:rFonts w:hint="default" w:ascii="华文宋体" w:hAnsi="华文宋体" w:eastAsia="仿宋_GB2312" w:cs="Times New Roman"/>
          <w:bCs/>
          <w:color w:val="auto"/>
          <w:kern w:val="2"/>
          <w:sz w:val="32"/>
          <w:szCs w:val="32"/>
          <w:highlight w:val="none"/>
          <w:lang w:val="en-US" w:eastAsia="zh-CN" w:bidi="ar-SA"/>
        </w:rPr>
      </w:pPr>
      <w:r>
        <w:rPr>
          <w:rFonts w:hint="default" w:ascii="华文宋体" w:hAnsi="华文宋体" w:eastAsia="仿宋_GB2312" w:cs="Times New Roman"/>
          <w:bCs/>
          <w:color w:val="auto"/>
          <w:kern w:val="2"/>
          <w:sz w:val="32"/>
          <w:szCs w:val="32"/>
          <w:highlight w:val="none"/>
          <w:lang w:val="en-US" w:eastAsia="zh-CN" w:bidi="ar-SA"/>
        </w:rPr>
        <w:t>企业是否享受加计扣除和建有研发平台是判断是否有研发活动的重要依据，有研发活动占比不及预期主要原因一是企业对享受研发费用加计扣除不够主动；二是企业对建设科技创新研发平台不够重视。</w:t>
      </w:r>
    </w:p>
    <w:p w14:paraId="036D8BEC">
      <w:pPr>
        <w:keepNext w:val="0"/>
        <w:keepLines w:val="0"/>
        <w:pageBreakBefore w:val="0"/>
        <w:kinsoku/>
        <w:wordWrap/>
        <w:overflowPunct/>
        <w:topLinePunct w:val="0"/>
        <w:autoSpaceDE/>
        <w:autoSpaceDN/>
        <w:bidi w:val="0"/>
        <w:spacing w:line="560" w:lineRule="exact"/>
        <w:ind w:firstLine="632" w:firstLineChars="200"/>
        <w:rPr>
          <w:rFonts w:hint="default" w:ascii="华文宋体" w:hAnsi="华文宋体" w:eastAsia="仿宋_GB2312" w:cs="Times New Roman"/>
          <w:bCs/>
          <w:color w:val="auto"/>
          <w:kern w:val="2"/>
          <w:sz w:val="32"/>
          <w:szCs w:val="32"/>
          <w:highlight w:val="none"/>
          <w:lang w:val="en-US" w:eastAsia="zh-CN" w:bidi="ar-SA"/>
        </w:rPr>
      </w:pPr>
      <w:r>
        <w:rPr>
          <w:rFonts w:hint="default" w:ascii="华文宋体" w:hAnsi="华文宋体" w:eastAsia="仿宋_GB2312" w:cs="Times New Roman"/>
          <w:bCs/>
          <w:color w:val="auto"/>
          <w:kern w:val="2"/>
          <w:sz w:val="32"/>
          <w:szCs w:val="32"/>
          <w:highlight w:val="none"/>
          <w:lang w:val="en-US" w:eastAsia="zh-CN" w:bidi="ar-SA"/>
        </w:rPr>
        <w:t>研发投入强度低于全省平均水平，主要由于赣江院筹建工作基本完成，基建支出和设备采购支出大幅减少，研发费用陡降2亿元，致使全市研发投入强度降低。</w:t>
      </w:r>
    </w:p>
    <w:p w14:paraId="6678999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none"/>
          <w:lang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八</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省级引导市县科技发展</w:t>
      </w:r>
    </w:p>
    <w:p w14:paraId="6EF0F67E">
      <w:pPr>
        <w:keepNext w:val="0"/>
        <w:keepLines w:val="0"/>
        <w:pageBreakBefore w:val="0"/>
        <w:widowControl/>
        <w:kinsoku/>
        <w:wordWrap/>
        <w:overflowPunct/>
        <w:topLinePunct w:val="0"/>
        <w:autoSpaceDE/>
        <w:autoSpaceDN/>
        <w:bidi w:val="0"/>
        <w:adjustRightInd/>
        <w:snapToGrid/>
        <w:spacing w:line="560" w:lineRule="exact"/>
        <w:ind w:right="0" w:rightChars="0" w:firstLine="632" w:firstLineChars="200"/>
        <w:jc w:val="left"/>
        <w:textAlignment w:val="auto"/>
        <w:rPr>
          <w:rFonts w:ascii="华文宋体" w:hAnsi="华文宋体" w:eastAsia="仿宋_GB2312" w:cs="Times New Roman"/>
          <w:color w:val="auto"/>
          <w:sz w:val="32"/>
          <w:szCs w:val="32"/>
          <w:highlight w:val="none"/>
        </w:rPr>
      </w:pPr>
      <w:r>
        <w:rPr>
          <w:rFonts w:hint="eastAsia" w:ascii="华文宋体" w:hAnsi="华文宋体" w:eastAsia="仿宋_GB2312" w:cs="Times New Roman"/>
          <w:color w:val="auto"/>
          <w:sz w:val="32"/>
          <w:szCs w:val="32"/>
          <w:highlight w:val="none"/>
          <w:lang w:val="en-US" w:eastAsia="zh-CN"/>
        </w:rPr>
        <w:t>2023</w:t>
      </w:r>
      <w:r>
        <w:rPr>
          <w:rFonts w:hint="eastAsia" w:ascii="华文宋体" w:hAnsi="华文宋体" w:eastAsia="仿宋_GB2312" w:cs="Times New Roman"/>
          <w:color w:val="auto"/>
          <w:sz w:val="32"/>
          <w:szCs w:val="32"/>
          <w:highlight w:val="none"/>
        </w:rPr>
        <w:t>年依据</w:t>
      </w:r>
      <w:r>
        <w:rPr>
          <w:rFonts w:hint="eastAsia" w:ascii="华文宋体" w:hAnsi="华文宋体" w:eastAsia="仿宋_GB2312" w:cs="Times New Roman"/>
          <w:color w:val="auto"/>
          <w:sz w:val="32"/>
          <w:szCs w:val="32"/>
          <w:highlight w:val="none"/>
          <w:lang w:eastAsia="zh-CN"/>
        </w:rPr>
        <w:t>《</w:t>
      </w:r>
      <w:r>
        <w:rPr>
          <w:rFonts w:hint="default" w:ascii="华文宋体" w:hAnsi="华文宋体" w:eastAsia="仿宋_GB2312" w:cs="Times New Roman"/>
          <w:color w:val="auto"/>
          <w:sz w:val="32"/>
          <w:szCs w:val="32"/>
          <w:highlight w:val="none"/>
        </w:rPr>
        <w:t>江西省科学技术厅关于下达202</w:t>
      </w:r>
      <w:r>
        <w:rPr>
          <w:rFonts w:hint="eastAsia" w:ascii="华文宋体" w:hAnsi="华文宋体" w:eastAsia="仿宋_GB2312" w:cs="Times New Roman"/>
          <w:color w:val="auto"/>
          <w:sz w:val="32"/>
          <w:szCs w:val="32"/>
          <w:highlight w:val="none"/>
          <w:lang w:val="en-US" w:eastAsia="zh-CN"/>
        </w:rPr>
        <w:t>3</w:t>
      </w:r>
      <w:r>
        <w:rPr>
          <w:rFonts w:hint="default" w:ascii="华文宋体" w:hAnsi="华文宋体" w:eastAsia="仿宋_GB2312" w:cs="Times New Roman"/>
          <w:color w:val="auto"/>
          <w:sz w:val="32"/>
          <w:szCs w:val="32"/>
          <w:highlight w:val="none"/>
        </w:rPr>
        <w:t>年省级科技</w:t>
      </w:r>
      <w:r>
        <w:rPr>
          <w:rFonts w:hint="default" w:ascii="华文宋体" w:hAnsi="华文宋体" w:eastAsia="仿宋_GB2312" w:cs="Times New Roman"/>
          <w:color w:val="auto"/>
          <w:sz w:val="32"/>
          <w:szCs w:val="32"/>
          <w:highlight w:val="none"/>
          <w:lang w:eastAsia="zh-CN"/>
        </w:rPr>
        <w:t>专项资金</w:t>
      </w:r>
      <w:r>
        <w:rPr>
          <w:rFonts w:hint="default" w:ascii="华文宋体" w:hAnsi="华文宋体" w:eastAsia="仿宋_GB2312" w:cs="Times New Roman"/>
          <w:color w:val="auto"/>
          <w:sz w:val="32"/>
          <w:szCs w:val="32"/>
          <w:highlight w:val="none"/>
        </w:rPr>
        <w:t>（</w:t>
      </w:r>
      <w:r>
        <w:rPr>
          <w:rFonts w:hint="default" w:ascii="华文宋体" w:hAnsi="华文宋体" w:eastAsia="仿宋_GB2312" w:cs="Times New Roman"/>
          <w:color w:val="auto"/>
          <w:sz w:val="32"/>
          <w:szCs w:val="32"/>
          <w:highlight w:val="none"/>
          <w:lang w:eastAsia="zh-CN"/>
        </w:rPr>
        <w:t>科技计划</w:t>
      </w:r>
      <w:r>
        <w:rPr>
          <w:rFonts w:hint="eastAsia" w:ascii="华文宋体" w:hAnsi="华文宋体" w:eastAsia="仿宋_GB2312" w:cs="Times New Roman"/>
          <w:color w:val="auto"/>
          <w:sz w:val="32"/>
          <w:szCs w:val="32"/>
          <w:highlight w:val="none"/>
          <w:lang w:eastAsia="zh-CN"/>
        </w:rPr>
        <w:t>提前</w:t>
      </w:r>
      <w:r>
        <w:rPr>
          <w:rFonts w:hint="default" w:ascii="华文宋体" w:hAnsi="华文宋体" w:eastAsia="仿宋_GB2312" w:cs="Times New Roman"/>
          <w:color w:val="auto"/>
          <w:sz w:val="32"/>
          <w:szCs w:val="32"/>
          <w:highlight w:val="none"/>
        </w:rPr>
        <w:t>批</w:t>
      </w:r>
      <w:r>
        <w:rPr>
          <w:rFonts w:hint="eastAsia" w:ascii="华文宋体" w:hAnsi="华文宋体" w:eastAsia="仿宋_GB2312" w:cs="Times New Roman"/>
          <w:color w:val="auto"/>
          <w:sz w:val="32"/>
          <w:szCs w:val="32"/>
          <w:highlight w:val="none"/>
          <w:lang w:eastAsia="zh-CN"/>
        </w:rPr>
        <w:t>转移支付</w:t>
      </w:r>
      <w:r>
        <w:rPr>
          <w:rFonts w:hint="default" w:ascii="华文宋体" w:hAnsi="华文宋体" w:eastAsia="仿宋_GB2312" w:cs="Times New Roman"/>
          <w:color w:val="auto"/>
          <w:sz w:val="32"/>
          <w:szCs w:val="32"/>
          <w:highlight w:val="none"/>
        </w:rPr>
        <w:t>）</w:t>
      </w:r>
      <w:r>
        <w:rPr>
          <w:rFonts w:hint="default" w:ascii="华文宋体" w:hAnsi="华文宋体" w:eastAsia="仿宋_GB2312" w:cs="Times New Roman"/>
          <w:color w:val="auto"/>
          <w:sz w:val="32"/>
          <w:szCs w:val="32"/>
          <w:highlight w:val="none"/>
          <w:lang w:eastAsia="zh-CN"/>
        </w:rPr>
        <w:t>项目</w:t>
      </w:r>
      <w:r>
        <w:rPr>
          <w:rFonts w:hint="default" w:ascii="华文宋体" w:hAnsi="华文宋体" w:eastAsia="仿宋_GB2312" w:cs="Times New Roman"/>
          <w:color w:val="auto"/>
          <w:sz w:val="32"/>
          <w:szCs w:val="32"/>
          <w:highlight w:val="none"/>
        </w:rPr>
        <w:t>的通知</w:t>
      </w:r>
      <w:r>
        <w:rPr>
          <w:rFonts w:hint="eastAsia" w:ascii="华文宋体" w:hAnsi="华文宋体" w:eastAsia="仿宋_GB2312" w:cs="Times New Roman"/>
          <w:color w:val="auto"/>
          <w:sz w:val="32"/>
          <w:szCs w:val="32"/>
          <w:highlight w:val="none"/>
          <w:lang w:eastAsia="zh-CN"/>
        </w:rPr>
        <w:t>》（</w:t>
      </w:r>
      <w:r>
        <w:rPr>
          <w:rFonts w:hint="default" w:ascii="华文宋体" w:hAnsi="华文宋体" w:eastAsia="仿宋_GB2312" w:cs="Times New Roman"/>
          <w:color w:val="auto"/>
          <w:sz w:val="32"/>
          <w:szCs w:val="32"/>
          <w:highlight w:val="none"/>
          <w:lang w:val="en-US" w:eastAsia="zh-CN"/>
        </w:rPr>
        <w:t>赣科发计字〔2022〕211号</w:t>
      </w:r>
      <w:r>
        <w:rPr>
          <w:rFonts w:hint="eastAsia" w:ascii="华文宋体" w:hAnsi="华文宋体" w:eastAsia="仿宋_GB2312" w:cs="Times New Roman"/>
          <w:color w:val="auto"/>
          <w:sz w:val="32"/>
          <w:szCs w:val="32"/>
          <w:highlight w:val="none"/>
          <w:lang w:eastAsia="zh-CN"/>
        </w:rPr>
        <w:t>）</w:t>
      </w:r>
      <w:r>
        <w:rPr>
          <w:rFonts w:hint="eastAsia" w:ascii="华文宋体" w:hAnsi="华文宋体" w:eastAsia="仿宋_GB2312" w:cs="Times New Roman"/>
          <w:color w:val="auto"/>
          <w:sz w:val="32"/>
          <w:szCs w:val="32"/>
          <w:highlight w:val="none"/>
        </w:rPr>
        <w:t>设立本项目。</w:t>
      </w:r>
    </w:p>
    <w:p w14:paraId="1F525EA0">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s="Times New Roman"/>
          <w:color w:val="auto"/>
          <w:sz w:val="32"/>
          <w:szCs w:val="32"/>
          <w:highlight w:val="none"/>
        </w:rPr>
      </w:pPr>
      <w:r>
        <w:rPr>
          <w:rFonts w:hint="eastAsia" w:ascii="华文宋体" w:hAnsi="华文宋体" w:eastAsia="仿宋_GB2312" w:cs="Times New Roman"/>
          <w:color w:val="auto"/>
          <w:sz w:val="32"/>
          <w:szCs w:val="32"/>
          <w:highlight w:val="none"/>
        </w:rPr>
        <w:t>1</w:t>
      </w:r>
      <w:r>
        <w:rPr>
          <w:rFonts w:ascii="华文宋体" w:hAnsi="华文宋体" w:eastAsia="仿宋_GB2312" w:cs="Times New Roman"/>
          <w:color w:val="auto"/>
          <w:sz w:val="32"/>
          <w:szCs w:val="32"/>
          <w:highlight w:val="none"/>
        </w:rPr>
        <w:t>.</w:t>
      </w:r>
      <w:r>
        <w:rPr>
          <w:rFonts w:hint="eastAsia" w:ascii="华文宋体" w:hAnsi="华文宋体" w:eastAsia="仿宋_GB2312" w:cs="Times New Roman"/>
          <w:color w:val="auto"/>
          <w:sz w:val="32"/>
          <w:szCs w:val="32"/>
          <w:highlight w:val="none"/>
        </w:rPr>
        <w:t>绩效目标实现情况</w:t>
      </w:r>
    </w:p>
    <w:p w14:paraId="620988D7">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hint="eastAsia" w:ascii="华文宋体" w:hAnsi="华文宋体" w:eastAsia="仿宋_GB2312"/>
          <w:color w:val="auto"/>
          <w:sz w:val="32"/>
          <w:szCs w:val="32"/>
          <w:highlight w:val="none"/>
          <w:lang w:eastAsia="zh-CN"/>
        </w:rPr>
      </w:pPr>
      <w:r>
        <w:rPr>
          <w:rFonts w:hint="eastAsia" w:ascii="华文宋体" w:hAnsi="华文宋体" w:eastAsia="仿宋_GB2312"/>
          <w:b w:val="0"/>
          <w:bCs w:val="0"/>
          <w:color w:val="auto"/>
          <w:sz w:val="32"/>
          <w:szCs w:val="32"/>
          <w:highlight w:val="none"/>
        </w:rPr>
        <w:t>本项目年度预算</w:t>
      </w:r>
      <w:r>
        <w:rPr>
          <w:rFonts w:hint="eastAsia" w:ascii="华文宋体" w:hAnsi="华文宋体" w:eastAsia="仿宋_GB2312"/>
          <w:b w:val="0"/>
          <w:bCs w:val="0"/>
          <w:color w:val="auto"/>
          <w:sz w:val="32"/>
          <w:szCs w:val="32"/>
          <w:highlight w:val="none"/>
          <w:lang w:val="en-US" w:eastAsia="zh-CN"/>
        </w:rPr>
        <w:t>180</w:t>
      </w:r>
      <w:r>
        <w:rPr>
          <w:rFonts w:hint="eastAsia" w:ascii="华文宋体" w:hAnsi="华文宋体" w:eastAsia="仿宋_GB2312"/>
          <w:b w:val="0"/>
          <w:bCs w:val="0"/>
          <w:color w:val="auto"/>
          <w:sz w:val="32"/>
          <w:szCs w:val="32"/>
          <w:highlight w:val="none"/>
        </w:rPr>
        <w:t>万元，</w:t>
      </w:r>
      <w:r>
        <w:rPr>
          <w:rFonts w:hint="eastAsia" w:ascii="华文宋体" w:hAnsi="华文宋体" w:eastAsia="仿宋_GB2312"/>
          <w:b w:val="0"/>
          <w:bCs w:val="0"/>
          <w:color w:val="auto"/>
          <w:sz w:val="32"/>
          <w:szCs w:val="32"/>
          <w:highlight w:val="none"/>
          <w:lang w:eastAsia="zh-CN"/>
        </w:rPr>
        <w:t>截止</w:t>
      </w:r>
      <w:r>
        <w:rPr>
          <w:rFonts w:hint="eastAsia" w:ascii="华文宋体" w:hAnsi="华文宋体" w:eastAsia="仿宋_GB2312"/>
          <w:b w:val="0"/>
          <w:bCs w:val="0"/>
          <w:color w:val="auto"/>
          <w:sz w:val="32"/>
          <w:szCs w:val="32"/>
          <w:highlight w:val="none"/>
          <w:lang w:val="en-US" w:eastAsia="zh-CN"/>
        </w:rPr>
        <w:t>12月底资金</w:t>
      </w:r>
      <w:r>
        <w:rPr>
          <w:rFonts w:hint="eastAsia" w:ascii="华文宋体" w:hAnsi="华文宋体" w:eastAsia="仿宋_GB2312"/>
          <w:b w:val="0"/>
          <w:bCs w:val="0"/>
          <w:color w:val="auto"/>
          <w:sz w:val="32"/>
          <w:szCs w:val="32"/>
          <w:highlight w:val="none"/>
          <w:lang w:eastAsia="zh-CN"/>
        </w:rPr>
        <w:t>已全部使用完</w:t>
      </w:r>
      <w:r>
        <w:rPr>
          <w:rFonts w:hint="eastAsia" w:ascii="华文宋体" w:hAnsi="华文宋体" w:eastAsia="仿宋_GB2312"/>
          <w:b w:val="0"/>
          <w:bCs w:val="0"/>
          <w:color w:val="auto"/>
          <w:sz w:val="32"/>
          <w:szCs w:val="32"/>
          <w:highlight w:val="none"/>
          <w:lang w:val="en-US" w:eastAsia="zh-CN"/>
        </w:rPr>
        <w:t>，</w:t>
      </w:r>
      <w:r>
        <w:rPr>
          <w:rFonts w:hint="eastAsia" w:ascii="华文宋体" w:hAnsi="华文宋体" w:eastAsia="仿宋_GB2312"/>
          <w:color w:val="auto"/>
          <w:sz w:val="32"/>
          <w:szCs w:val="32"/>
          <w:highlight w:val="none"/>
        </w:rPr>
        <w:t>对照批复的绩效目标，主要完成</w:t>
      </w:r>
      <w:r>
        <w:rPr>
          <w:rFonts w:hint="eastAsia" w:ascii="华文宋体" w:hAnsi="华文宋体" w:eastAsia="仿宋_GB2312"/>
          <w:color w:val="auto"/>
          <w:sz w:val="32"/>
          <w:szCs w:val="32"/>
          <w:highlight w:val="none"/>
          <w:lang w:eastAsia="zh-CN"/>
        </w:rPr>
        <w:t>了</w:t>
      </w:r>
      <w:r>
        <w:rPr>
          <w:rFonts w:hint="eastAsia" w:ascii="华文宋体" w:hAnsi="华文宋体" w:eastAsia="仿宋_GB2312"/>
          <w:color w:val="auto"/>
          <w:sz w:val="32"/>
          <w:szCs w:val="32"/>
          <w:highlight w:val="none"/>
        </w:rPr>
        <w:t>促进全省研发投入持续增长</w:t>
      </w:r>
      <w:r>
        <w:rPr>
          <w:rFonts w:hint="eastAsia" w:ascii="华文宋体" w:hAnsi="华文宋体" w:eastAsia="仿宋_GB2312"/>
          <w:color w:val="auto"/>
          <w:sz w:val="32"/>
          <w:szCs w:val="32"/>
          <w:highlight w:val="none"/>
          <w:lang w:eastAsia="zh-CN"/>
        </w:rPr>
        <w:t>、不断优化创新环境、高新技术产业稳步发展</w:t>
      </w:r>
      <w:r>
        <w:rPr>
          <w:rFonts w:hint="eastAsia" w:ascii="华文宋体" w:hAnsi="华文宋体" w:eastAsia="仿宋_GB2312"/>
          <w:color w:val="auto"/>
          <w:sz w:val="32"/>
          <w:szCs w:val="32"/>
          <w:highlight w:val="none"/>
        </w:rPr>
        <w:t>等工作</w:t>
      </w:r>
      <w:r>
        <w:rPr>
          <w:rFonts w:hint="eastAsia" w:ascii="华文宋体" w:hAnsi="华文宋体" w:eastAsia="仿宋_GB2312"/>
          <w:color w:val="auto"/>
          <w:sz w:val="32"/>
          <w:szCs w:val="32"/>
          <w:highlight w:val="none"/>
          <w:lang w:eastAsia="zh-CN"/>
        </w:rPr>
        <w:t>。</w:t>
      </w:r>
    </w:p>
    <w:p w14:paraId="61E97235">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2</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存在的问题和下一步改进措施</w:t>
      </w:r>
    </w:p>
    <w:p w14:paraId="0D8661E8">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lang w:eastAsia="zh-CN"/>
        </w:rPr>
      </w:pPr>
      <w:r>
        <w:rPr>
          <w:rFonts w:hint="eastAsia" w:ascii="华文宋体" w:hAnsi="华文宋体" w:eastAsia="仿宋_GB2312"/>
          <w:color w:val="auto"/>
          <w:sz w:val="32"/>
          <w:szCs w:val="32"/>
          <w:highlight w:val="none"/>
          <w:lang w:eastAsia="zh-CN"/>
        </w:rPr>
        <w:t>无</w:t>
      </w:r>
    </w:p>
    <w:p w14:paraId="78A74FAF">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rPr>
      </w:pPr>
      <w:r>
        <w:rPr>
          <w:rFonts w:hint="eastAsia" w:ascii="华文宋体" w:hAnsi="华文宋体" w:eastAsia="仿宋_GB2312" w:cs="Times New Roman"/>
          <w:b/>
          <w:bCs w:val="0"/>
          <w:color w:val="auto"/>
          <w:sz w:val="32"/>
          <w:szCs w:val="32"/>
          <w:highlight w:val="none"/>
          <w:lang w:eastAsia="zh-CN"/>
        </w:rPr>
        <w:t>（九）</w:t>
      </w:r>
      <w:r>
        <w:rPr>
          <w:rFonts w:hint="eastAsia" w:ascii="华文宋体" w:hAnsi="华文宋体" w:eastAsia="仿宋_GB2312" w:cs="Times New Roman"/>
          <w:b/>
          <w:bCs w:val="0"/>
          <w:color w:val="auto"/>
          <w:sz w:val="32"/>
          <w:szCs w:val="32"/>
          <w:highlight w:val="none"/>
        </w:rPr>
        <w:t>科技活动周</w:t>
      </w:r>
    </w:p>
    <w:p w14:paraId="51074CDA">
      <w:pPr>
        <w:pStyle w:val="4"/>
        <w:keepNext w:val="0"/>
        <w:keepLines w:val="0"/>
        <w:pageBreakBefore w:val="0"/>
        <w:widowControl/>
        <w:kinsoku/>
        <w:wordWrap/>
        <w:overflowPunct/>
        <w:topLinePunct w:val="0"/>
        <w:autoSpaceDE/>
        <w:autoSpaceDN/>
        <w:bidi w:val="0"/>
        <w:adjustRightInd/>
        <w:snapToGrid/>
        <w:spacing w:line="560" w:lineRule="exact"/>
        <w:ind w:right="0" w:rightChars="0"/>
        <w:textAlignment w:val="auto"/>
        <w:rPr>
          <w:rFonts w:hint="eastAsia" w:ascii="华文宋体" w:hAnsi="华文宋体" w:eastAsia="仿宋_GB2312" w:cs="Times New Roman"/>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2023年度赣州市承办了全省科技活动周活动，依据</w:t>
      </w:r>
      <w:r>
        <w:rPr>
          <w:rFonts w:hint="eastAsia" w:ascii="华文宋体" w:hAnsi="华文宋体" w:eastAsia="仿宋_GB2312" w:cs="Times New Roman"/>
          <w:color w:val="auto"/>
          <w:sz w:val="32"/>
          <w:szCs w:val="32"/>
          <w:highlight w:val="none"/>
          <w:lang w:eastAsia="zh-CN"/>
        </w:rPr>
        <w:t>《</w:t>
      </w:r>
      <w:r>
        <w:rPr>
          <w:rFonts w:hint="default" w:ascii="华文宋体" w:hAnsi="华文宋体" w:eastAsia="仿宋_GB2312" w:cs="Times New Roman"/>
          <w:color w:val="auto"/>
          <w:sz w:val="32"/>
          <w:szCs w:val="32"/>
          <w:highlight w:val="none"/>
        </w:rPr>
        <w:t>江西省科学技术厅关于下达202</w:t>
      </w:r>
      <w:r>
        <w:rPr>
          <w:rFonts w:hint="eastAsia" w:ascii="华文宋体" w:hAnsi="华文宋体" w:eastAsia="仿宋_GB2312" w:cs="Times New Roman"/>
          <w:color w:val="auto"/>
          <w:sz w:val="32"/>
          <w:szCs w:val="32"/>
          <w:highlight w:val="none"/>
          <w:lang w:val="en-US" w:eastAsia="zh-CN"/>
        </w:rPr>
        <w:t>3</w:t>
      </w:r>
      <w:r>
        <w:rPr>
          <w:rFonts w:hint="default" w:ascii="华文宋体" w:hAnsi="华文宋体" w:eastAsia="仿宋_GB2312" w:cs="Times New Roman"/>
          <w:color w:val="auto"/>
          <w:sz w:val="32"/>
          <w:szCs w:val="32"/>
          <w:highlight w:val="none"/>
        </w:rPr>
        <w:t>年省级科技</w:t>
      </w:r>
      <w:r>
        <w:rPr>
          <w:rFonts w:hint="default" w:ascii="华文宋体" w:hAnsi="华文宋体" w:eastAsia="仿宋_GB2312" w:cs="Times New Roman"/>
          <w:color w:val="auto"/>
          <w:sz w:val="32"/>
          <w:szCs w:val="32"/>
          <w:highlight w:val="none"/>
          <w:lang w:eastAsia="zh-CN"/>
        </w:rPr>
        <w:t>专项资金</w:t>
      </w:r>
      <w:r>
        <w:rPr>
          <w:rFonts w:hint="default" w:ascii="华文宋体" w:hAnsi="华文宋体" w:eastAsia="仿宋_GB2312" w:cs="Times New Roman"/>
          <w:color w:val="auto"/>
          <w:sz w:val="32"/>
          <w:szCs w:val="32"/>
          <w:highlight w:val="none"/>
        </w:rPr>
        <w:t>（</w:t>
      </w:r>
      <w:r>
        <w:rPr>
          <w:rFonts w:hint="default" w:ascii="华文宋体" w:hAnsi="华文宋体" w:eastAsia="仿宋_GB2312" w:cs="Times New Roman"/>
          <w:color w:val="auto"/>
          <w:sz w:val="32"/>
          <w:szCs w:val="32"/>
          <w:highlight w:val="none"/>
          <w:lang w:eastAsia="zh-CN"/>
        </w:rPr>
        <w:t>科技计划</w:t>
      </w:r>
      <w:r>
        <w:rPr>
          <w:rFonts w:hint="eastAsia" w:ascii="华文宋体" w:hAnsi="华文宋体" w:eastAsia="仿宋_GB2312" w:cs="Times New Roman"/>
          <w:color w:val="auto"/>
          <w:sz w:val="32"/>
          <w:szCs w:val="32"/>
          <w:highlight w:val="none"/>
          <w:lang w:eastAsia="zh-CN"/>
        </w:rPr>
        <w:t>提前</w:t>
      </w:r>
      <w:r>
        <w:rPr>
          <w:rFonts w:hint="default" w:ascii="华文宋体" w:hAnsi="华文宋体" w:eastAsia="仿宋_GB2312" w:cs="Times New Roman"/>
          <w:color w:val="auto"/>
          <w:sz w:val="32"/>
          <w:szCs w:val="32"/>
          <w:highlight w:val="none"/>
        </w:rPr>
        <w:t>批</w:t>
      </w:r>
      <w:r>
        <w:rPr>
          <w:rFonts w:hint="eastAsia" w:ascii="华文宋体" w:hAnsi="华文宋体" w:eastAsia="仿宋_GB2312" w:cs="Times New Roman"/>
          <w:color w:val="auto"/>
          <w:sz w:val="32"/>
          <w:szCs w:val="32"/>
          <w:highlight w:val="none"/>
          <w:lang w:eastAsia="zh-CN"/>
        </w:rPr>
        <w:t>转移支付</w:t>
      </w:r>
      <w:r>
        <w:rPr>
          <w:rFonts w:hint="default" w:ascii="华文宋体" w:hAnsi="华文宋体" w:eastAsia="仿宋_GB2312" w:cs="Times New Roman"/>
          <w:color w:val="auto"/>
          <w:sz w:val="32"/>
          <w:szCs w:val="32"/>
          <w:highlight w:val="none"/>
        </w:rPr>
        <w:t>）</w:t>
      </w:r>
      <w:r>
        <w:rPr>
          <w:rFonts w:hint="default" w:ascii="华文宋体" w:hAnsi="华文宋体" w:eastAsia="仿宋_GB2312" w:cs="Times New Roman"/>
          <w:color w:val="auto"/>
          <w:sz w:val="32"/>
          <w:szCs w:val="32"/>
          <w:highlight w:val="none"/>
          <w:lang w:eastAsia="zh-CN"/>
        </w:rPr>
        <w:t>项目</w:t>
      </w:r>
      <w:r>
        <w:rPr>
          <w:rFonts w:hint="default" w:ascii="华文宋体" w:hAnsi="华文宋体" w:eastAsia="仿宋_GB2312" w:cs="Times New Roman"/>
          <w:color w:val="auto"/>
          <w:sz w:val="32"/>
          <w:szCs w:val="32"/>
          <w:highlight w:val="none"/>
        </w:rPr>
        <w:t>的通知</w:t>
      </w:r>
      <w:r>
        <w:rPr>
          <w:rFonts w:hint="eastAsia" w:ascii="华文宋体" w:hAnsi="华文宋体" w:eastAsia="仿宋_GB2312" w:cs="Times New Roman"/>
          <w:color w:val="auto"/>
          <w:sz w:val="32"/>
          <w:szCs w:val="32"/>
          <w:highlight w:val="none"/>
          <w:lang w:eastAsia="zh-CN"/>
        </w:rPr>
        <w:t>》（</w:t>
      </w:r>
      <w:r>
        <w:rPr>
          <w:rFonts w:hint="default" w:ascii="华文宋体" w:hAnsi="华文宋体" w:eastAsia="仿宋_GB2312" w:cs="Times New Roman"/>
          <w:color w:val="auto"/>
          <w:sz w:val="32"/>
          <w:szCs w:val="32"/>
          <w:highlight w:val="none"/>
          <w:lang w:val="en-US" w:eastAsia="zh-CN"/>
        </w:rPr>
        <w:t>赣科发计字〔2022〕211号</w:t>
      </w:r>
      <w:r>
        <w:rPr>
          <w:rFonts w:hint="eastAsia" w:ascii="华文宋体" w:hAnsi="华文宋体" w:eastAsia="仿宋_GB2312" w:cs="Times New Roman"/>
          <w:color w:val="auto"/>
          <w:sz w:val="32"/>
          <w:szCs w:val="32"/>
          <w:highlight w:val="none"/>
          <w:lang w:eastAsia="zh-CN"/>
        </w:rPr>
        <w:t>）</w:t>
      </w:r>
      <w:r>
        <w:rPr>
          <w:rFonts w:hint="eastAsia" w:ascii="华文宋体" w:hAnsi="华文宋体" w:eastAsia="仿宋_GB2312" w:cs="Times New Roman"/>
          <w:color w:val="auto"/>
          <w:sz w:val="32"/>
          <w:szCs w:val="32"/>
          <w:highlight w:val="none"/>
        </w:rPr>
        <w:t>设立本项目</w:t>
      </w:r>
      <w:r>
        <w:rPr>
          <w:rFonts w:hint="eastAsia" w:ascii="华文宋体" w:hAnsi="华文宋体" w:eastAsia="仿宋_GB2312" w:cs="Times New Roman"/>
          <w:color w:val="auto"/>
          <w:sz w:val="32"/>
          <w:szCs w:val="32"/>
          <w:highlight w:val="none"/>
          <w:lang w:eastAsia="zh-CN"/>
        </w:rPr>
        <w:t>，涉及资金</w:t>
      </w:r>
      <w:r>
        <w:rPr>
          <w:rFonts w:hint="eastAsia" w:ascii="华文宋体" w:hAnsi="华文宋体" w:eastAsia="仿宋_GB2312" w:cs="Times New Roman"/>
          <w:color w:val="auto"/>
          <w:sz w:val="32"/>
          <w:szCs w:val="32"/>
          <w:highlight w:val="none"/>
          <w:lang w:val="en-US" w:eastAsia="zh-CN"/>
        </w:rPr>
        <w:t>90万元。截止12月底，资金已全部使用完毕，各项指标均完成良好。</w:t>
      </w:r>
    </w:p>
    <w:p w14:paraId="5143E9D1">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color w:val="auto"/>
          <w:sz w:val="32"/>
          <w:szCs w:val="32"/>
          <w:highlight w:val="none"/>
        </w:rPr>
      </w:pPr>
      <w:r>
        <w:rPr>
          <w:rFonts w:hint="eastAsia" w:ascii="华文宋体" w:hAnsi="华文宋体" w:eastAsia="仿宋_GB2312" w:cs="Times New Roman"/>
          <w:color w:val="auto"/>
          <w:sz w:val="32"/>
          <w:szCs w:val="32"/>
          <w:highlight w:val="none"/>
        </w:rPr>
        <w:t>1</w:t>
      </w:r>
      <w:r>
        <w:rPr>
          <w:rFonts w:ascii="华文宋体" w:hAnsi="华文宋体" w:eastAsia="仿宋_GB2312" w:cs="Times New Roman"/>
          <w:color w:val="auto"/>
          <w:sz w:val="32"/>
          <w:szCs w:val="32"/>
          <w:highlight w:val="none"/>
        </w:rPr>
        <w:t>.</w:t>
      </w:r>
      <w:r>
        <w:rPr>
          <w:rFonts w:hint="eastAsia" w:ascii="华文宋体" w:hAnsi="华文宋体" w:eastAsia="仿宋_GB2312" w:cs="Times New Roman"/>
          <w:color w:val="auto"/>
          <w:sz w:val="32"/>
          <w:szCs w:val="32"/>
          <w:highlight w:val="none"/>
        </w:rPr>
        <w:t>绩效目标实现情况</w:t>
      </w:r>
    </w:p>
    <w:p w14:paraId="214CFB27">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color w:val="000000"/>
          <w:kern w:val="0"/>
          <w:sz w:val="32"/>
          <w:szCs w:val="32"/>
        </w:rPr>
      </w:pPr>
      <w:r>
        <w:rPr>
          <w:rFonts w:hint="eastAsia" w:ascii="华文宋体" w:hAnsi="华文宋体" w:eastAsia="仿宋_GB2312" w:cs="仿宋_GB2312"/>
          <w:sz w:val="32"/>
          <w:szCs w:val="32"/>
          <w:lang w:val="en-US" w:eastAsia="zh-CN"/>
        </w:rPr>
        <w:t>根据《</w:t>
      </w:r>
      <w:r>
        <w:rPr>
          <w:rFonts w:hint="default" w:ascii="华文宋体" w:hAnsi="华文宋体" w:eastAsia="仿宋_GB2312" w:cs="宋体"/>
          <w:color w:val="000000"/>
          <w:kern w:val="0"/>
          <w:sz w:val="32"/>
          <w:szCs w:val="32"/>
          <w:lang w:val="en-US" w:eastAsia="zh-CN"/>
        </w:rPr>
        <w:t>江西省科技厅</w:t>
      </w:r>
      <w:r>
        <w:rPr>
          <w:rFonts w:hint="eastAsia" w:ascii="华文宋体" w:hAnsi="华文宋体" w:eastAsia="仿宋_GB2312" w:cs="宋体"/>
          <w:color w:val="000000"/>
          <w:kern w:val="0"/>
          <w:sz w:val="32"/>
          <w:szCs w:val="32"/>
          <w:lang w:val="en-US" w:eastAsia="zh-CN"/>
        </w:rPr>
        <w:t xml:space="preserve"> </w:t>
      </w:r>
      <w:r>
        <w:rPr>
          <w:rFonts w:hint="default" w:ascii="华文宋体" w:hAnsi="华文宋体" w:eastAsia="仿宋_GB2312" w:cs="宋体"/>
          <w:color w:val="000000"/>
          <w:kern w:val="0"/>
          <w:sz w:val="32"/>
          <w:szCs w:val="32"/>
          <w:lang w:val="en-US" w:eastAsia="zh-CN"/>
        </w:rPr>
        <w:t>省委宣传部</w:t>
      </w:r>
      <w:r>
        <w:rPr>
          <w:rFonts w:hint="eastAsia" w:ascii="华文宋体" w:hAnsi="华文宋体" w:eastAsia="仿宋_GB2312" w:cs="宋体"/>
          <w:color w:val="000000"/>
          <w:kern w:val="0"/>
          <w:sz w:val="32"/>
          <w:szCs w:val="32"/>
          <w:lang w:val="en-US" w:eastAsia="zh-CN"/>
        </w:rPr>
        <w:t xml:space="preserve"> </w:t>
      </w:r>
      <w:r>
        <w:rPr>
          <w:rFonts w:hint="default" w:ascii="华文宋体" w:hAnsi="华文宋体" w:eastAsia="仿宋_GB2312" w:cs="宋体"/>
          <w:color w:val="000000"/>
          <w:kern w:val="0"/>
          <w:sz w:val="32"/>
          <w:szCs w:val="32"/>
          <w:lang w:val="en-US" w:eastAsia="zh-CN"/>
        </w:rPr>
        <w:t>江西省科协关于举办 2023年全省科技活动周的通知</w:t>
      </w:r>
      <w:r>
        <w:rPr>
          <w:rFonts w:hint="eastAsia" w:ascii="华文宋体" w:hAnsi="华文宋体" w:eastAsia="仿宋_GB2312" w:cs="仿宋_GB2312"/>
          <w:sz w:val="32"/>
          <w:szCs w:val="32"/>
          <w:lang w:val="en-US" w:eastAsia="zh-CN"/>
        </w:rPr>
        <w:t>》</w:t>
      </w:r>
      <w:r>
        <w:rPr>
          <w:rFonts w:hint="eastAsia" w:ascii="华文宋体" w:hAnsi="华文宋体" w:eastAsia="仿宋_GB2312" w:cs="宋体"/>
          <w:color w:val="000000"/>
          <w:kern w:val="0"/>
          <w:sz w:val="32"/>
          <w:szCs w:val="32"/>
        </w:rPr>
        <w:t>（</w:t>
      </w:r>
      <w:r>
        <w:rPr>
          <w:rFonts w:hint="eastAsia" w:ascii="华文宋体" w:hAnsi="华文宋体" w:eastAsia="仿宋_GB2312" w:cs="Times New Roman"/>
          <w:bCs/>
          <w:sz w:val="32"/>
          <w:szCs w:val="32"/>
          <w:lang w:val="en-US" w:eastAsia="zh-CN"/>
        </w:rPr>
        <w:t>赣科发政字</w:t>
      </w:r>
      <w:r>
        <w:rPr>
          <w:rFonts w:hint="default" w:ascii="华文宋体" w:hAnsi="华文宋体" w:eastAsia="仿宋_GB2312" w:cs="Times New Roman"/>
          <w:bCs/>
          <w:sz w:val="32"/>
          <w:szCs w:val="32"/>
          <w:lang w:val="en-US" w:eastAsia="zh-CN"/>
        </w:rPr>
        <w:t>〔2023〕</w:t>
      </w:r>
      <w:r>
        <w:rPr>
          <w:rFonts w:hint="eastAsia" w:ascii="华文宋体" w:hAnsi="华文宋体" w:eastAsia="仿宋_GB2312" w:cs="Times New Roman"/>
          <w:bCs/>
          <w:sz w:val="32"/>
          <w:szCs w:val="32"/>
          <w:lang w:val="en-US" w:eastAsia="zh-CN"/>
        </w:rPr>
        <w:t>26</w:t>
      </w:r>
      <w:r>
        <w:rPr>
          <w:rFonts w:hint="default" w:ascii="华文宋体" w:hAnsi="华文宋体" w:eastAsia="仿宋_GB2312" w:cs="Times New Roman"/>
          <w:bCs/>
          <w:sz w:val="32"/>
          <w:szCs w:val="32"/>
          <w:lang w:val="en-US" w:eastAsia="zh-CN"/>
        </w:rPr>
        <w:t>号</w:t>
      </w:r>
      <w:r>
        <w:rPr>
          <w:rFonts w:hint="eastAsia" w:ascii="华文宋体" w:hAnsi="华文宋体" w:eastAsia="仿宋_GB2312" w:cs="宋体"/>
          <w:color w:val="000000"/>
          <w:kern w:val="0"/>
          <w:sz w:val="32"/>
          <w:szCs w:val="32"/>
        </w:rPr>
        <w:t>）文件</w:t>
      </w:r>
      <w:r>
        <w:rPr>
          <w:rFonts w:hint="eastAsia" w:ascii="华文宋体" w:hAnsi="华文宋体" w:eastAsia="仿宋_GB2312" w:cs="宋体"/>
          <w:color w:val="000000"/>
          <w:kern w:val="0"/>
          <w:sz w:val="32"/>
          <w:szCs w:val="32"/>
          <w:lang w:eastAsia="zh-CN"/>
        </w:rPr>
        <w:t>精神</w:t>
      </w:r>
      <w:r>
        <w:rPr>
          <w:rFonts w:hint="eastAsia" w:ascii="华文宋体" w:hAnsi="华文宋体" w:eastAsia="仿宋_GB2312" w:cs="宋体"/>
          <w:color w:val="000000"/>
          <w:kern w:val="0"/>
          <w:sz w:val="32"/>
          <w:szCs w:val="32"/>
        </w:rPr>
        <w:t>，</w:t>
      </w:r>
      <w:r>
        <w:rPr>
          <w:rFonts w:hint="eastAsia" w:ascii="华文宋体" w:hAnsi="华文宋体" w:eastAsia="仿宋_GB2312" w:cs="仿宋_GB2312"/>
          <w:sz w:val="32"/>
          <w:szCs w:val="32"/>
          <w:lang w:val="en-US" w:eastAsia="zh-CN"/>
        </w:rPr>
        <w:t>赣州市</w:t>
      </w:r>
      <w:r>
        <w:rPr>
          <w:rFonts w:hint="eastAsia" w:ascii="华文宋体" w:hAnsi="华文宋体" w:eastAsia="仿宋_GB2312" w:cs="宋体"/>
          <w:color w:val="000000"/>
          <w:kern w:val="0"/>
          <w:sz w:val="32"/>
          <w:szCs w:val="32"/>
        </w:rPr>
        <w:t>于</w:t>
      </w:r>
      <w:r>
        <w:rPr>
          <w:rFonts w:hint="eastAsia" w:ascii="华文宋体" w:hAnsi="华文宋体" w:eastAsia="仿宋_GB2312" w:cs="宋体"/>
          <w:color w:val="000000"/>
          <w:kern w:val="0"/>
          <w:sz w:val="32"/>
          <w:szCs w:val="32"/>
          <w:lang w:val="en-US" w:eastAsia="zh-CN"/>
        </w:rPr>
        <w:t>5</w:t>
      </w:r>
      <w:r>
        <w:rPr>
          <w:rFonts w:hint="eastAsia" w:ascii="华文宋体" w:hAnsi="华文宋体" w:eastAsia="仿宋_GB2312" w:cs="宋体"/>
          <w:color w:val="000000"/>
          <w:kern w:val="0"/>
          <w:sz w:val="32"/>
          <w:szCs w:val="32"/>
        </w:rPr>
        <w:t>月</w:t>
      </w:r>
      <w:r>
        <w:rPr>
          <w:rFonts w:hint="eastAsia" w:ascii="华文宋体" w:hAnsi="华文宋体" w:eastAsia="仿宋_GB2312" w:cs="宋体"/>
          <w:color w:val="000000"/>
          <w:kern w:val="0"/>
          <w:sz w:val="32"/>
          <w:szCs w:val="32"/>
          <w:lang w:val="en-US" w:eastAsia="zh-CN"/>
        </w:rPr>
        <w:t>20</w:t>
      </w:r>
      <w:r>
        <w:rPr>
          <w:rFonts w:hint="eastAsia" w:ascii="华文宋体" w:hAnsi="华文宋体" w:eastAsia="仿宋_GB2312" w:cs="宋体"/>
          <w:color w:val="000000"/>
          <w:kern w:val="0"/>
          <w:sz w:val="32"/>
          <w:szCs w:val="32"/>
        </w:rPr>
        <w:t>日至</w:t>
      </w:r>
      <w:r>
        <w:rPr>
          <w:rFonts w:hint="eastAsia" w:ascii="华文宋体" w:hAnsi="华文宋体" w:eastAsia="仿宋_GB2312" w:cs="宋体"/>
          <w:color w:val="000000"/>
          <w:kern w:val="0"/>
          <w:sz w:val="32"/>
          <w:szCs w:val="32"/>
          <w:lang w:val="en-US" w:eastAsia="zh-CN"/>
        </w:rPr>
        <w:t>27</w:t>
      </w:r>
      <w:r>
        <w:rPr>
          <w:rFonts w:hint="eastAsia" w:ascii="华文宋体" w:hAnsi="华文宋体" w:eastAsia="仿宋_GB2312" w:cs="宋体"/>
          <w:color w:val="000000"/>
          <w:kern w:val="0"/>
          <w:sz w:val="32"/>
          <w:szCs w:val="32"/>
        </w:rPr>
        <w:t>日</w:t>
      </w:r>
      <w:r>
        <w:rPr>
          <w:rFonts w:hint="eastAsia" w:ascii="华文宋体" w:hAnsi="华文宋体" w:eastAsia="仿宋_GB2312"/>
          <w:bCs/>
          <w:sz w:val="32"/>
          <w:szCs w:val="32"/>
          <w:lang w:eastAsia="zh-CN"/>
        </w:rPr>
        <w:t>承办</w:t>
      </w:r>
      <w:r>
        <w:rPr>
          <w:rFonts w:hint="eastAsia" w:ascii="华文宋体" w:hAnsi="华文宋体" w:eastAsia="仿宋_GB2312"/>
          <w:bCs/>
          <w:sz w:val="32"/>
          <w:szCs w:val="32"/>
        </w:rPr>
        <w:t>了</w:t>
      </w:r>
      <w:r>
        <w:rPr>
          <w:rFonts w:hint="eastAsia" w:ascii="华文宋体" w:hAnsi="华文宋体" w:eastAsia="仿宋_GB2312"/>
          <w:bCs/>
          <w:sz w:val="32"/>
          <w:szCs w:val="32"/>
          <w:lang w:eastAsia="zh-CN"/>
        </w:rPr>
        <w:t>以</w:t>
      </w:r>
      <w:r>
        <w:rPr>
          <w:rFonts w:hint="eastAsia" w:ascii="华文宋体" w:hAnsi="华文宋体" w:eastAsia="仿宋_GB2312" w:cs="仿宋_GB2312"/>
          <w:sz w:val="32"/>
          <w:szCs w:val="32"/>
          <w:lang w:val="en-US" w:eastAsia="zh-CN"/>
        </w:rPr>
        <w:t>“热爱科学 崇尚科学”为主题的2023年江西省科技活动周。</w:t>
      </w:r>
      <w:r>
        <w:rPr>
          <w:rFonts w:hint="eastAsia" w:ascii="华文宋体" w:hAnsi="华文宋体" w:eastAsia="仿宋_GB2312" w:cs="宋体"/>
          <w:color w:val="000000"/>
          <w:kern w:val="0"/>
          <w:sz w:val="32"/>
          <w:szCs w:val="32"/>
        </w:rPr>
        <w:t>全市各级各部门围绕</w:t>
      </w:r>
      <w:r>
        <w:rPr>
          <w:rFonts w:hint="eastAsia" w:ascii="华文宋体" w:hAnsi="华文宋体" w:eastAsia="仿宋_GB2312" w:cs="宋体"/>
          <w:color w:val="000000"/>
          <w:kern w:val="0"/>
          <w:sz w:val="32"/>
          <w:szCs w:val="32"/>
          <w:lang w:eastAsia="zh-CN"/>
        </w:rPr>
        <w:t>活动主题</w:t>
      </w:r>
      <w:r>
        <w:rPr>
          <w:rFonts w:hint="eastAsia" w:ascii="华文宋体" w:hAnsi="华文宋体" w:eastAsia="仿宋_GB2312" w:cs="宋体"/>
          <w:color w:val="000000"/>
          <w:kern w:val="0"/>
          <w:sz w:val="32"/>
          <w:szCs w:val="32"/>
        </w:rPr>
        <w:t>，广泛开展形式多样的科技创新和科学普及宣传活动，动员和号召</w:t>
      </w:r>
      <w:r>
        <w:rPr>
          <w:rFonts w:hint="eastAsia" w:ascii="华文宋体" w:hAnsi="华文宋体" w:eastAsia="仿宋_GB2312" w:cs="宋体"/>
          <w:color w:val="000000"/>
          <w:kern w:val="0"/>
          <w:sz w:val="32"/>
          <w:szCs w:val="32"/>
          <w:lang w:eastAsia="zh-CN"/>
        </w:rPr>
        <w:t>全省</w:t>
      </w:r>
      <w:r>
        <w:rPr>
          <w:rFonts w:hint="eastAsia" w:ascii="华文宋体" w:hAnsi="华文宋体" w:eastAsia="仿宋_GB2312" w:cs="宋体"/>
          <w:color w:val="000000"/>
          <w:kern w:val="0"/>
          <w:sz w:val="32"/>
          <w:szCs w:val="32"/>
        </w:rPr>
        <w:t>科技创新工作者和社会各界支持创新、参与创</w:t>
      </w:r>
      <w:r>
        <w:rPr>
          <w:rFonts w:hint="eastAsia" w:ascii="华文宋体" w:hAnsi="华文宋体" w:eastAsia="仿宋_GB2312" w:cs="宋体"/>
          <w:color w:val="000000"/>
          <w:kern w:val="0"/>
          <w:sz w:val="32"/>
          <w:szCs w:val="32"/>
          <w:lang w:eastAsia="zh-CN"/>
        </w:rPr>
        <w:t>新</w:t>
      </w:r>
      <w:r>
        <w:rPr>
          <w:rFonts w:hint="eastAsia" w:ascii="华文宋体" w:hAnsi="华文宋体" w:eastAsia="仿宋_GB2312" w:cs="宋体"/>
          <w:color w:val="000000"/>
          <w:kern w:val="0"/>
          <w:sz w:val="32"/>
          <w:szCs w:val="32"/>
        </w:rPr>
        <w:t>，营造了浓厚的科技</w:t>
      </w:r>
      <w:r>
        <w:rPr>
          <w:rFonts w:hint="eastAsia" w:ascii="华文宋体" w:hAnsi="华文宋体" w:eastAsia="仿宋_GB2312" w:cs="宋体"/>
          <w:color w:val="000000"/>
          <w:kern w:val="0"/>
          <w:sz w:val="32"/>
          <w:szCs w:val="32"/>
          <w:lang w:eastAsia="zh-CN"/>
        </w:rPr>
        <w:t>创新</w:t>
      </w:r>
      <w:r>
        <w:rPr>
          <w:rFonts w:hint="eastAsia" w:ascii="华文宋体" w:hAnsi="华文宋体" w:eastAsia="仿宋_GB2312" w:cs="宋体"/>
          <w:color w:val="000000"/>
          <w:kern w:val="0"/>
          <w:sz w:val="32"/>
          <w:szCs w:val="32"/>
        </w:rPr>
        <w:t>氛围。</w:t>
      </w:r>
      <w:r>
        <w:rPr>
          <w:rFonts w:hint="eastAsia" w:ascii="华文宋体" w:hAnsi="华文宋体" w:eastAsia="仿宋_GB2312" w:cs="宋体"/>
          <w:color w:val="000000"/>
          <w:kern w:val="0"/>
          <w:sz w:val="32"/>
          <w:szCs w:val="32"/>
          <w:lang w:eastAsia="zh-CN"/>
        </w:rPr>
        <w:t>具体开展</w:t>
      </w:r>
      <w:r>
        <w:rPr>
          <w:rFonts w:hint="eastAsia" w:ascii="华文宋体" w:hAnsi="华文宋体" w:eastAsia="仿宋_GB2312" w:cs="宋体"/>
          <w:color w:val="000000"/>
          <w:kern w:val="0"/>
          <w:sz w:val="32"/>
          <w:szCs w:val="32"/>
        </w:rPr>
        <w:t>情况如下：</w:t>
      </w:r>
    </w:p>
    <w:p w14:paraId="7FB73BC3">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黑体"/>
          <w:bCs/>
          <w:sz w:val="32"/>
          <w:szCs w:val="32"/>
        </w:rPr>
      </w:pPr>
      <w:r>
        <w:rPr>
          <w:rFonts w:hint="eastAsia" w:ascii="华文宋体" w:hAnsi="华文宋体" w:eastAsia="仿宋_GB2312" w:cs="宋体"/>
          <w:color w:val="000000"/>
          <w:kern w:val="0"/>
          <w:sz w:val="32"/>
          <w:szCs w:val="32"/>
          <w:lang w:eastAsia="zh-CN"/>
        </w:rPr>
        <w:t>（</w:t>
      </w:r>
      <w:r>
        <w:rPr>
          <w:rFonts w:hint="eastAsia" w:ascii="华文宋体" w:hAnsi="华文宋体" w:eastAsia="仿宋_GB2312" w:cs="宋体"/>
          <w:color w:val="000000"/>
          <w:kern w:val="0"/>
          <w:sz w:val="32"/>
          <w:szCs w:val="32"/>
          <w:lang w:val="en-US" w:eastAsia="zh-CN"/>
        </w:rPr>
        <w:t>1</w:t>
      </w:r>
      <w:r>
        <w:rPr>
          <w:rFonts w:hint="eastAsia" w:ascii="华文宋体" w:hAnsi="华文宋体" w:eastAsia="仿宋_GB2312" w:cs="宋体"/>
          <w:color w:val="000000"/>
          <w:kern w:val="0"/>
          <w:sz w:val="32"/>
          <w:szCs w:val="32"/>
          <w:lang w:eastAsia="zh-CN"/>
        </w:rPr>
        <w:t>）</w:t>
      </w:r>
      <w:r>
        <w:rPr>
          <w:rFonts w:hint="eastAsia" w:ascii="华文宋体" w:hAnsi="华文宋体" w:eastAsia="仿宋_GB2312" w:cs="宋体"/>
          <w:color w:val="000000"/>
          <w:kern w:val="0"/>
          <w:sz w:val="32"/>
          <w:szCs w:val="32"/>
        </w:rPr>
        <w:t>健全组织领导，精心筹划安排</w:t>
      </w:r>
    </w:p>
    <w:p w14:paraId="4AED9071">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default" w:ascii="华文宋体" w:hAnsi="华文宋体" w:eastAsia="仿宋_GB2312"/>
          <w:lang w:val="en-US" w:eastAsia="zh-CN"/>
        </w:rPr>
      </w:pPr>
      <w:r>
        <w:rPr>
          <w:rFonts w:hint="eastAsia" w:ascii="华文宋体" w:hAnsi="华文宋体" w:eastAsia="仿宋_GB2312" w:cs="宋体"/>
          <w:color w:val="000000"/>
          <w:kern w:val="0"/>
          <w:sz w:val="32"/>
          <w:szCs w:val="32"/>
          <w:lang w:val="en-US" w:eastAsia="zh-CN"/>
        </w:rPr>
        <w:t>一是健全领导小组。成立了以江西省科技厅党组书记、厅长宋德雄任组委会主任；省科技厅党组成员、副厅长陈金桥，省委宣传部副部长、省文明办主任龚建文，省科协副主席孙卫民，赣州市委常委、副市长何琦任组委会副主任的江西省科技活动周省市联合组委会办公室，强化了组织领导，高位推动活动开展。二是迅速筹备活动。市科技局早谋划，早准备，积极谋划部署科技活动周活动方案和内容，并印发《2023年江西省科技活动周（中国·赣州）筹备工作方案》，进一步</w:t>
      </w:r>
      <w:r>
        <w:rPr>
          <w:rFonts w:hint="eastAsia" w:ascii="华文宋体" w:hAnsi="华文宋体" w:eastAsia="仿宋_GB2312" w:cs="仿宋_GB2312"/>
          <w:sz w:val="32"/>
          <w:szCs w:val="32"/>
        </w:rPr>
        <w:t>明确了工作职责、工作任务、工作重点，落实了工作责任</w:t>
      </w:r>
      <w:r>
        <w:rPr>
          <w:rFonts w:hint="eastAsia" w:ascii="华文宋体" w:hAnsi="华文宋体" w:eastAsia="仿宋_GB2312" w:cs="宋体"/>
          <w:color w:val="000000"/>
          <w:kern w:val="0"/>
          <w:sz w:val="32"/>
          <w:szCs w:val="32"/>
          <w:lang w:val="en-US" w:eastAsia="zh-CN"/>
        </w:rPr>
        <w:t>。三是及时召开调度会。多次召开2023年科技活动周调度会和工作筹备会</w:t>
      </w:r>
      <w:r>
        <w:rPr>
          <w:rFonts w:hint="eastAsia" w:ascii="华文宋体" w:hAnsi="华文宋体" w:eastAsia="仿宋_GB2312" w:cs="仿宋_GB2312"/>
          <w:b w:val="0"/>
          <w:bCs w:val="0"/>
          <w:color w:val="auto"/>
          <w:kern w:val="2"/>
          <w:sz w:val="32"/>
          <w:szCs w:val="32"/>
          <w:lang w:val="en-US" w:eastAsia="zh-CN" w:bidi="ar-SA"/>
        </w:rPr>
        <w:t>，传达了省科技活动周活动精神，将科技活动周各项准备工作做实做细</w:t>
      </w:r>
      <w:r>
        <w:rPr>
          <w:rFonts w:hint="default" w:ascii="华文宋体" w:hAnsi="华文宋体" w:eastAsia="仿宋_GB2312" w:cs="仿宋_GB2312"/>
          <w:b w:val="0"/>
          <w:bCs w:val="0"/>
          <w:color w:val="auto"/>
          <w:kern w:val="2"/>
          <w:sz w:val="32"/>
          <w:szCs w:val="32"/>
          <w:lang w:val="en" w:eastAsia="zh-CN" w:bidi="ar-SA"/>
        </w:rPr>
        <w:t>,</w:t>
      </w:r>
      <w:r>
        <w:rPr>
          <w:rFonts w:hint="eastAsia" w:ascii="华文宋体" w:hAnsi="华文宋体" w:eastAsia="仿宋_GB2312" w:cs="仿宋_GB2312"/>
          <w:b w:val="0"/>
          <w:bCs w:val="0"/>
          <w:color w:val="auto"/>
          <w:kern w:val="2"/>
          <w:sz w:val="32"/>
          <w:szCs w:val="32"/>
          <w:lang w:val="en-US" w:eastAsia="zh-CN" w:bidi="ar-SA"/>
        </w:rPr>
        <w:t>掀起科技活动周的高潮。</w:t>
      </w:r>
    </w:p>
    <w:p w14:paraId="4C1CC0FE">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default" w:ascii="华文宋体" w:hAnsi="华文宋体" w:eastAsia="仿宋_GB2312" w:cs="宋体"/>
          <w:color w:val="000000"/>
          <w:kern w:val="0"/>
          <w:sz w:val="32"/>
          <w:szCs w:val="32"/>
          <w:lang w:val="en-US" w:eastAsia="zh-CN"/>
        </w:rPr>
      </w:pPr>
      <w:r>
        <w:rPr>
          <w:rFonts w:hint="eastAsia" w:ascii="华文宋体" w:hAnsi="华文宋体" w:eastAsia="仿宋_GB2312" w:cs="宋体"/>
          <w:color w:val="000000"/>
          <w:kern w:val="0"/>
          <w:sz w:val="32"/>
          <w:szCs w:val="32"/>
          <w:lang w:val="en-US" w:eastAsia="zh-CN"/>
        </w:rPr>
        <w:t>（2）活动形式多样，突出创新重点</w:t>
      </w:r>
    </w:p>
    <w:p w14:paraId="4D097DCA">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color w:val="000000"/>
          <w:kern w:val="0"/>
          <w:sz w:val="32"/>
          <w:szCs w:val="32"/>
          <w:lang w:val="en-US" w:eastAsia="zh-CN"/>
        </w:rPr>
      </w:pPr>
      <w:r>
        <w:rPr>
          <w:rFonts w:hint="eastAsia" w:ascii="华文宋体" w:hAnsi="华文宋体" w:eastAsia="仿宋_GB2312" w:cs="宋体"/>
          <w:color w:val="000000"/>
          <w:kern w:val="0"/>
          <w:sz w:val="32"/>
          <w:szCs w:val="32"/>
          <w:lang w:val="en-US" w:eastAsia="zh-CN"/>
        </w:rPr>
        <w:t>江西省2023年“科技活动周”启动仪式</w:t>
      </w:r>
    </w:p>
    <w:p w14:paraId="6D58D200">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sz w:val="32"/>
          <w:szCs w:val="32"/>
          <w:lang w:val="en-US" w:eastAsia="zh-CN"/>
        </w:rPr>
      </w:pPr>
      <w:r>
        <w:rPr>
          <w:rFonts w:hint="eastAsia" w:ascii="华文宋体" w:hAnsi="华文宋体" w:eastAsia="仿宋_GB2312" w:cs="宋体"/>
          <w:color w:val="000000"/>
          <w:kern w:val="0"/>
          <w:sz w:val="32"/>
          <w:szCs w:val="32"/>
          <w:lang w:val="en-US" w:eastAsia="zh-CN"/>
        </w:rPr>
        <w:t>5月20日上午，由江西省科学技术厅、中共江西省委宣传部、江西省科学技术协会、赣州市人民政府主办，赣州市科学技术局、中共赣州市委宣传部、赣州市科学技术协会承办的2023年江西省科技活动周启动仪式在赣州长征广场隆重举行。</w:t>
      </w:r>
      <w:r>
        <w:rPr>
          <w:rFonts w:hint="eastAsia" w:ascii="华文宋体" w:hAnsi="华文宋体" w:eastAsia="仿宋_GB2312" w:cs="宋体"/>
          <w:color w:val="000000"/>
          <w:kern w:val="0"/>
          <w:sz w:val="32"/>
          <w:szCs w:val="32"/>
          <w:highlight w:val="none"/>
          <w:lang w:val="en-US" w:eastAsia="zh-CN"/>
        </w:rPr>
        <w:t>省科技厅厅长宋德雄，省政府副秘书长熊科平、</w:t>
      </w:r>
      <w:r>
        <w:rPr>
          <w:rFonts w:hint="eastAsia" w:ascii="华文宋体" w:hAnsi="华文宋体" w:eastAsia="仿宋_GB2312" w:cs="宋体"/>
          <w:color w:val="000000"/>
          <w:kern w:val="0"/>
          <w:sz w:val="32"/>
          <w:szCs w:val="32"/>
          <w:lang w:val="en-US" w:eastAsia="zh-CN"/>
        </w:rPr>
        <w:t>省科协党组书记曾萍</w:t>
      </w:r>
      <w:r>
        <w:rPr>
          <w:rFonts w:hint="eastAsia" w:ascii="华文宋体" w:hAnsi="华文宋体" w:eastAsia="仿宋_GB2312" w:cs="宋体"/>
          <w:color w:val="000000"/>
          <w:kern w:val="0"/>
          <w:sz w:val="32"/>
          <w:szCs w:val="32"/>
          <w:highlight w:val="none"/>
          <w:lang w:val="en-US" w:eastAsia="zh-CN"/>
        </w:rPr>
        <w:t>、市委副书记、市长李克坚等出席启动仪式。全国科技管理系统先进集体代表和先进工作者，全省科普讲解大赛获奖选手代表和优秀组织单位代表，各设区市科技局代表，赣州市、县、区有关部门负责同志、科技特派员、科技企业、科技人才，以及群众和学生等共900余人参加。活动共设置九大展区、五个互动区域、布展展品千余件，</w:t>
      </w:r>
      <w:r>
        <w:rPr>
          <w:rFonts w:hint="eastAsia" w:ascii="华文宋体" w:hAnsi="华文宋体" w:eastAsia="仿宋_GB2312"/>
          <w:sz w:val="32"/>
          <w:szCs w:val="32"/>
        </w:rPr>
        <w:t>集中展示了“十</w:t>
      </w:r>
      <w:r>
        <w:rPr>
          <w:rFonts w:hint="eastAsia" w:ascii="华文宋体" w:hAnsi="华文宋体" w:eastAsia="仿宋_GB2312"/>
          <w:sz w:val="32"/>
          <w:szCs w:val="32"/>
          <w:lang w:eastAsia="zh-CN"/>
        </w:rPr>
        <w:t>四</w:t>
      </w:r>
      <w:r>
        <w:rPr>
          <w:rFonts w:hint="eastAsia" w:ascii="华文宋体" w:hAnsi="华文宋体" w:eastAsia="仿宋_GB2312"/>
          <w:sz w:val="32"/>
          <w:szCs w:val="32"/>
        </w:rPr>
        <w:t>五”以来创新驱动发展成效，宣传科技创新政策，推广普及科学知识，</w:t>
      </w:r>
      <w:r>
        <w:rPr>
          <w:rFonts w:hint="eastAsia" w:ascii="华文宋体" w:hAnsi="华文宋体" w:eastAsia="仿宋_GB2312" w:cs="Times New Roman"/>
          <w:sz w:val="32"/>
          <w:szCs w:val="32"/>
          <w:lang w:val="en-US" w:eastAsia="zh-CN"/>
        </w:rPr>
        <w:t>并在网上同步直播，为群众呈现了一场精彩的科普体验盛会。</w:t>
      </w:r>
    </w:p>
    <w:p w14:paraId="273F181B">
      <w:pPr>
        <w:pStyle w:val="18"/>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sz w:val="32"/>
          <w:szCs w:val="32"/>
          <w:lang w:val="en-US" w:eastAsia="zh-CN"/>
        </w:rPr>
      </w:pPr>
      <w:r>
        <w:rPr>
          <w:rFonts w:hint="eastAsia" w:ascii="华文宋体" w:hAnsi="华文宋体" w:eastAsia="仿宋_GB2312" w:cs="Times New Roman"/>
          <w:sz w:val="32"/>
          <w:szCs w:val="32"/>
          <w:lang w:val="en-US" w:eastAsia="zh-CN"/>
        </w:rPr>
        <w:t>系列主题活动开展情况</w:t>
      </w:r>
    </w:p>
    <w:p w14:paraId="20D61C94">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default" w:ascii="华文宋体" w:hAnsi="华文宋体" w:eastAsia="仿宋_GB2312" w:cs="Times New Roman"/>
          <w:sz w:val="32"/>
          <w:szCs w:val="32"/>
          <w:lang w:val="en-US" w:eastAsia="zh-CN"/>
        </w:rPr>
      </w:pPr>
      <w:r>
        <w:rPr>
          <w:rFonts w:hint="eastAsia" w:ascii="华文宋体" w:hAnsi="华文宋体" w:eastAsia="仿宋_GB2312" w:cs="Times New Roman"/>
          <w:sz w:val="32"/>
          <w:szCs w:val="32"/>
          <w:lang w:val="en-US" w:eastAsia="zh-CN"/>
        </w:rPr>
        <w:t>5月20日至5月27日持续开展《畅游四季星空科普讲座》、《赣南植物与生活》等15个系列特色科技活动，各县（市、区）蓉江新区等均同步举办了各具特色的科技活动周启动仪式，在全市范围内营造了尊重知识、崇尚创新、尊重人才的浓厚氛围。</w:t>
      </w:r>
    </w:p>
    <w:p w14:paraId="7C1809E7">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黑体"/>
          <w:sz w:val="32"/>
          <w:szCs w:val="32"/>
          <w:lang w:val="en-US" w:eastAsia="zh-CN"/>
        </w:rPr>
      </w:pPr>
      <w:r>
        <w:rPr>
          <w:rFonts w:hint="eastAsia" w:ascii="华文宋体" w:hAnsi="华文宋体" w:eastAsia="仿宋_GB2312" w:cs="Times New Roman"/>
          <w:sz w:val="32"/>
          <w:szCs w:val="32"/>
          <w:lang w:val="en-US" w:eastAsia="zh-CN"/>
        </w:rPr>
        <w:t>闭幕式晚会——科技之夜</w:t>
      </w:r>
    </w:p>
    <w:p w14:paraId="0367F79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华文宋体" w:hAnsi="华文宋体" w:eastAsia="仿宋_GB2312"/>
        </w:rPr>
      </w:pPr>
      <w:r>
        <w:rPr>
          <w:rFonts w:hint="eastAsia" w:ascii="华文宋体" w:hAnsi="华文宋体" w:eastAsia="仿宋_GB2312" w:cs="Times New Roman"/>
          <w:kern w:val="2"/>
          <w:sz w:val="32"/>
          <w:szCs w:val="32"/>
          <w:lang w:val="en-US" w:eastAsia="zh-CN"/>
        </w:rPr>
        <w:t xml:space="preserve">    5月27日，2023年江西省科技活动周闭幕晚会在赣州市融媒体中心演播厅顺利举行，江西省科技厅党组成员、副厅长陈金桥，江西省应急管理厅党委委员、政治部主任刘闯，市领导蓝赟出席。晚会采用线下+线上相结合的方式</w:t>
      </w:r>
      <w:r>
        <w:rPr>
          <w:rFonts w:hint="eastAsia" w:ascii="华文宋体" w:hAnsi="华文宋体" w:eastAsia="仿宋_GB2312" w:cs="仿宋"/>
          <w:i w:val="0"/>
          <w:iCs w:val="0"/>
          <w:caps w:val="0"/>
          <w:color w:val="000000"/>
          <w:spacing w:val="0"/>
          <w:sz w:val="32"/>
          <w:szCs w:val="32"/>
          <w:shd w:val="clear" w:color="auto" w:fill="FFFFFF"/>
          <w:lang w:val="en-US" w:eastAsia="zh-CN"/>
        </w:rPr>
        <w:t>，</w:t>
      </w:r>
      <w:r>
        <w:rPr>
          <w:rFonts w:hint="eastAsia" w:ascii="华文宋体" w:hAnsi="华文宋体" w:eastAsia="仿宋_GB2312" w:cs="Times New Roman"/>
          <w:sz w:val="32"/>
          <w:szCs w:val="32"/>
        </w:rPr>
        <w:t>观看人数突破10万人，累计观看突破50万人，</w:t>
      </w:r>
      <w:r>
        <w:rPr>
          <w:rFonts w:hint="eastAsia" w:ascii="华文宋体" w:hAnsi="华文宋体" w:eastAsia="仿宋_GB2312" w:cs="Times New Roman"/>
          <w:sz w:val="32"/>
          <w:szCs w:val="32"/>
          <w:lang w:eastAsia="zh-CN"/>
        </w:rPr>
        <w:t>晚会</w:t>
      </w:r>
      <w:r>
        <w:rPr>
          <w:rFonts w:hint="eastAsia" w:ascii="华文宋体" w:hAnsi="华文宋体" w:eastAsia="仿宋_GB2312" w:cs="Times New Roman"/>
          <w:kern w:val="2"/>
          <w:sz w:val="32"/>
          <w:szCs w:val="32"/>
          <w:lang w:val="en-US" w:eastAsia="zh-CN"/>
        </w:rPr>
        <w:t>共设置了赣鄱风韵、科技闪耀、科学有爱、创享未来四大主题篇章，共18个节目，打造了一台具有浓郁江西和赣州文艺特色的晚会，充分体现科技元素和风采</w:t>
      </w:r>
      <w:r>
        <w:rPr>
          <w:rFonts w:hint="eastAsia" w:ascii="华文宋体" w:hAnsi="华文宋体" w:eastAsia="仿宋_GB2312" w:cs="微软雅黑"/>
          <w:b w:val="0"/>
          <w:i w:val="0"/>
          <w:caps w:val="0"/>
          <w:color w:val="000000"/>
          <w:spacing w:val="0"/>
          <w:sz w:val="28"/>
          <w:szCs w:val="28"/>
        </w:rPr>
        <w:t>，</w:t>
      </w:r>
      <w:r>
        <w:rPr>
          <w:rFonts w:hint="eastAsia" w:ascii="华文宋体" w:hAnsi="华文宋体" w:eastAsia="仿宋_GB2312" w:cs="Times New Roman"/>
          <w:kern w:val="2"/>
          <w:sz w:val="32"/>
          <w:szCs w:val="32"/>
          <w:lang w:val="en-US" w:eastAsia="zh-CN"/>
        </w:rPr>
        <w:t>宣传江西省和赣州市创新创业良好环境，展现科技创新重大成果，倡导科技为民、科普惠民，弘扬了科学精神，为全社会营造了良好的科技创新氛围。</w:t>
      </w:r>
    </w:p>
    <w:p w14:paraId="07708E5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32" w:firstLineChars="200"/>
        <w:jc w:val="both"/>
        <w:textAlignment w:val="auto"/>
        <w:rPr>
          <w:rFonts w:hint="eastAsia" w:ascii="华文宋体" w:hAnsi="华文宋体" w:eastAsia="仿宋_GB2312" w:cs="Times New Roman"/>
          <w:kern w:val="2"/>
          <w:sz w:val="32"/>
          <w:szCs w:val="32"/>
          <w:lang w:val="en-US" w:eastAsia="zh-CN"/>
        </w:rPr>
      </w:pPr>
      <w:r>
        <w:rPr>
          <w:rFonts w:hint="eastAsia" w:ascii="华文宋体" w:hAnsi="华文宋体" w:eastAsia="仿宋_GB2312" w:cs="Times New Roman"/>
          <w:kern w:val="2"/>
          <w:sz w:val="32"/>
          <w:szCs w:val="32"/>
          <w:lang w:val="en-US" w:eastAsia="zh-CN"/>
        </w:rPr>
        <w:t>（3）加强宣传力度，营造浓厚氛围</w:t>
      </w:r>
    </w:p>
    <w:p w14:paraId="2D339B35">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sz w:val="32"/>
          <w:szCs w:val="32"/>
          <w:lang w:val="en-US" w:eastAsia="zh-CN"/>
        </w:rPr>
      </w:pPr>
      <w:r>
        <w:rPr>
          <w:rFonts w:hint="eastAsia" w:ascii="华文宋体" w:hAnsi="华文宋体" w:eastAsia="仿宋_GB2312" w:cs="Times New Roman"/>
          <w:sz w:val="32"/>
          <w:szCs w:val="32"/>
          <w:lang w:val="en-US" w:eastAsia="zh-CN"/>
        </w:rPr>
        <w:t>科技日报、新华网、江西日报、江西卫视、赣州电视台等媒体对我市各地科技活动周进行了专题报道，全面宣传我市丰富多彩的群众性科技活动。通过科技展览、科技咨询、科技下乡、科普讲座等多种方式扩大了科技活动周的影响面和覆盖率。根据全市各县（市、区）的2023年科技活动周活动总结统计数据，整个科技周活动期间，</w:t>
      </w:r>
      <w:r>
        <w:rPr>
          <w:rFonts w:hint="eastAsia" w:ascii="华文宋体" w:hAnsi="华文宋体" w:eastAsia="仿宋_GB2312" w:cs="Times New Roman"/>
          <w:sz w:val="32"/>
          <w:szCs w:val="32"/>
          <w:highlight w:val="none"/>
          <w:lang w:val="en-US" w:eastAsia="zh-CN"/>
        </w:rPr>
        <w:t>全市各地各部门组织300余家单位参与，线下参加活动人员超过102327余人，发放宣传资料1553600余份，开展各类科技咨询67500余人次，开展义诊3600余人次，举办科技农技培训</w:t>
      </w:r>
      <w:r>
        <w:rPr>
          <w:rFonts w:hint="default" w:ascii="华文宋体" w:hAnsi="华文宋体" w:eastAsia="仿宋_GB2312" w:cs="Times New Roman"/>
          <w:sz w:val="32"/>
          <w:szCs w:val="32"/>
          <w:highlight w:val="none"/>
          <w:lang w:val="en" w:eastAsia="zh-CN"/>
        </w:rPr>
        <w:t>42</w:t>
      </w:r>
      <w:r>
        <w:rPr>
          <w:rFonts w:hint="eastAsia" w:ascii="华文宋体" w:hAnsi="华文宋体" w:eastAsia="仿宋_GB2312" w:cs="Times New Roman"/>
          <w:sz w:val="32"/>
          <w:szCs w:val="32"/>
          <w:highlight w:val="none"/>
          <w:lang w:val="en-US" w:eastAsia="zh-CN"/>
        </w:rPr>
        <w:t>期，开放科普场地19个，开放科研院所、大学5个。</w:t>
      </w:r>
    </w:p>
    <w:p w14:paraId="5D1B9C4C">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cs="Times New Roman"/>
          <w:color w:val="auto"/>
          <w:sz w:val="32"/>
          <w:szCs w:val="32"/>
          <w:highlight w:val="none"/>
          <w:lang w:val="en-US" w:eastAsia="zh-CN"/>
        </w:rPr>
      </w:pPr>
      <w:r>
        <w:rPr>
          <w:rFonts w:hint="eastAsia" w:ascii="华文宋体" w:hAnsi="华文宋体" w:eastAsia="仿宋_GB2312" w:cs="Times New Roman"/>
          <w:sz w:val="32"/>
          <w:szCs w:val="32"/>
          <w:lang w:val="en-US" w:eastAsia="zh-CN"/>
        </w:rPr>
        <w:t>今年，我市承办的江西省科技活动周主题鲜明，富有特色，参与面广，影响面宽，各单位、各部门通力协作，发挥各自优势，弘扬科学精神，普及科学知识，传播科学思想和科学方法，进一步营造了“爱科学，讲科学，学科学，用科学”的社会氛围。今后，我们将以“科技活动周”为契机，继续加大科技服务力度，广泛宣传科技知识，推广科技宣传，为促进科技创新能力和公民科学素质的提高，为实施创新驱动发展战略,实现赣南苏区振兴发展提供强有力的科技支撑，从而有效促进科技事业的进步发展。</w:t>
      </w:r>
    </w:p>
    <w:p w14:paraId="0842641F">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firstLineChars="200"/>
        <w:textAlignment w:val="auto"/>
        <w:rPr>
          <w:rFonts w:ascii="华文宋体" w:hAnsi="华文宋体" w:eastAsia="仿宋_GB2312"/>
          <w:color w:val="auto"/>
          <w:sz w:val="32"/>
          <w:szCs w:val="32"/>
          <w:highlight w:val="none"/>
        </w:rPr>
      </w:pPr>
      <w:r>
        <w:rPr>
          <w:rFonts w:hint="eastAsia" w:ascii="华文宋体" w:hAnsi="华文宋体" w:eastAsia="仿宋_GB2312"/>
          <w:color w:val="auto"/>
          <w:sz w:val="32"/>
          <w:szCs w:val="32"/>
          <w:highlight w:val="none"/>
        </w:rPr>
        <w:t>2</w:t>
      </w:r>
      <w:r>
        <w:rPr>
          <w:rFonts w:ascii="华文宋体" w:hAnsi="华文宋体" w:eastAsia="仿宋_GB2312"/>
          <w:color w:val="auto"/>
          <w:sz w:val="32"/>
          <w:szCs w:val="32"/>
          <w:highlight w:val="none"/>
        </w:rPr>
        <w:t>.</w:t>
      </w:r>
      <w:r>
        <w:rPr>
          <w:rFonts w:hint="eastAsia" w:ascii="华文宋体" w:hAnsi="华文宋体" w:eastAsia="仿宋_GB2312"/>
          <w:color w:val="auto"/>
          <w:sz w:val="32"/>
          <w:szCs w:val="32"/>
          <w:highlight w:val="none"/>
        </w:rPr>
        <w:t>存在的问题和下一步改进措施</w:t>
      </w:r>
    </w:p>
    <w:p w14:paraId="4F922A5E">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default" w:ascii="华文宋体" w:hAnsi="华文宋体" w:eastAsia="仿宋_GB2312" w:cs="Times New Roman"/>
          <w:color w:val="auto"/>
          <w:sz w:val="32"/>
          <w:szCs w:val="32"/>
          <w:highlight w:val="none"/>
          <w:lang w:val="en-US" w:eastAsia="zh-CN"/>
        </w:rPr>
      </w:pPr>
      <w:r>
        <w:rPr>
          <w:rFonts w:hint="eastAsia" w:ascii="华文宋体" w:hAnsi="华文宋体" w:eastAsia="仿宋_GB2312"/>
          <w:color w:val="auto"/>
          <w:sz w:val="32"/>
          <w:szCs w:val="32"/>
          <w:highlight w:val="none"/>
          <w:lang w:eastAsia="zh-CN"/>
        </w:rPr>
        <w:t>无</w:t>
      </w:r>
    </w:p>
    <w:p w14:paraId="5EFCB77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default" w:ascii="华文宋体" w:hAnsi="华文宋体" w:eastAsia="仿宋_GB2312"/>
          <w:b/>
          <w:bCs w:val="0"/>
          <w:color w:val="auto"/>
          <w:sz w:val="32"/>
          <w:szCs w:val="32"/>
          <w:highlight w:val="none"/>
          <w:lang w:val="en-US"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十</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val="en-US" w:eastAsia="zh-CN"/>
        </w:rPr>
        <w:t>2022年省科技特派员千百万帮扶行动特派员（工业）</w:t>
      </w:r>
    </w:p>
    <w:p w14:paraId="1F55B2D9">
      <w:pPr>
        <w:pStyle w:val="4"/>
        <w:keepNext w:val="0"/>
        <w:keepLines w:val="0"/>
        <w:pageBreakBefore w:val="0"/>
        <w:widowControl/>
        <w:kinsoku/>
        <w:wordWrap/>
        <w:overflowPunct/>
        <w:topLinePunct w:val="0"/>
        <w:autoSpaceDE/>
        <w:autoSpaceDN/>
        <w:bidi w:val="0"/>
        <w:adjustRightInd/>
        <w:snapToGrid/>
        <w:spacing w:line="560" w:lineRule="exact"/>
        <w:ind w:right="0" w:rightChars="0"/>
        <w:textAlignment w:val="auto"/>
        <w:rPr>
          <w:rFonts w:hint="eastAsia"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2023年依据《关于印发《科技特派员“千百万”帮扶行动工作方案》的通知》设立本项目，主要用于科技特派员工作经费。</w:t>
      </w:r>
    </w:p>
    <w:p w14:paraId="024ED787">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1.绩效目标实现情况</w:t>
      </w:r>
    </w:p>
    <w:p w14:paraId="3C1C9DC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本项目年度预算96万元，1～12月计划支96万元，实际支出96万元，预算执行率100%。对照批复的绩效目标，帮助15个县（市、区）园区企业解决复工复产和持续发展中面临的技术创新问题，增强企业的创新发展能力。正在为企业提供技术协同攻关、科技成果转化、科技资源引进、科技战略咨询等服务工作，已有48位工业特派员完成对接。</w:t>
      </w:r>
    </w:p>
    <w:p w14:paraId="7993B3D8">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val="en-US" w:eastAsia="zh-CN"/>
        </w:rPr>
      </w:pPr>
      <w:r>
        <w:rPr>
          <w:rFonts w:hint="eastAsia" w:ascii="华文宋体" w:hAnsi="华文宋体" w:eastAsia="仿宋_GB2312"/>
          <w:color w:val="auto"/>
          <w:sz w:val="32"/>
          <w:szCs w:val="32"/>
          <w:highlight w:val="none"/>
          <w:lang w:val="en-US" w:eastAsia="zh-CN"/>
        </w:rPr>
        <w:t>2.存在的问题和下一步改进措施</w:t>
      </w:r>
    </w:p>
    <w:p w14:paraId="2E52F67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yellow"/>
        </w:rPr>
      </w:pPr>
      <w:r>
        <w:rPr>
          <w:rFonts w:hint="eastAsia" w:ascii="华文宋体" w:hAnsi="华文宋体" w:eastAsia="仿宋_GB2312"/>
          <w:color w:val="auto"/>
          <w:sz w:val="32"/>
          <w:szCs w:val="32"/>
          <w:highlight w:val="none"/>
          <w:lang w:val="en-US" w:eastAsia="zh-CN"/>
        </w:rPr>
        <w:t>无</w:t>
      </w:r>
    </w:p>
    <w:p w14:paraId="79A48517">
      <w:pPr>
        <w:pStyle w:val="9"/>
        <w:keepNext w:val="0"/>
        <w:keepLines w:val="0"/>
        <w:pageBreakBefore w:val="0"/>
        <w:widowControl/>
        <w:suppressLineNumbers w:val="0"/>
        <w:kinsoku/>
        <w:wordWrap/>
        <w:overflowPunct/>
        <w:topLinePunct w:val="0"/>
        <w:autoSpaceDE/>
        <w:autoSpaceDN/>
        <w:bidi w:val="0"/>
        <w:spacing w:before="0" w:beforeAutospacing="0" w:after="0" w:afterAutospacing="0" w:line="560" w:lineRule="exact"/>
        <w:ind w:left="0" w:right="0" w:firstLine="632" w:firstLineChars="200"/>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（十一）科技创新平台运行绩效评价奖励</w:t>
      </w:r>
    </w:p>
    <w:p w14:paraId="7258E440">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2023年依据《赣州市进一步强化科技创新赋能的若干政策措施》设立本项目，主要用于支持创新平台建设。</w:t>
      </w:r>
    </w:p>
    <w:p w14:paraId="3D8858D2">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1.绩效目标实现情况</w:t>
      </w:r>
    </w:p>
    <w:p w14:paraId="58D0A0A8">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本项目年度预算460万元，1～12月计划支460万元，实际支出460万元，预算执行率100%。对照批复的绩效目标，2023年评出优秀等次的省级平台6个，市级平台16个。获奖励平台满意度超过90％。以绩效评价搅动创新平台争先创优，鼓励平台真正开展研发，发挥应有作用，形成更好的创新氛围。</w:t>
      </w:r>
    </w:p>
    <w:p w14:paraId="4271151B">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2.存在的问题和下一步改进措施</w:t>
      </w:r>
    </w:p>
    <w:p w14:paraId="79851AD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无</w:t>
      </w:r>
    </w:p>
    <w:p w14:paraId="32AF3E92">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kern w:val="0"/>
          <w:sz w:val="32"/>
          <w:szCs w:val="32"/>
          <w:highlight w:val="none"/>
          <w:lang w:val="en-US" w:eastAsia="zh-CN" w:bidi="ar"/>
        </w:rPr>
      </w:pPr>
      <w:r>
        <w:rPr>
          <w:rFonts w:hint="eastAsia" w:ascii="华文宋体" w:hAnsi="华文宋体" w:eastAsia="仿宋_GB2312" w:cs="Times New Roman"/>
          <w:b/>
          <w:bCs w:val="0"/>
          <w:color w:val="auto"/>
          <w:kern w:val="0"/>
          <w:sz w:val="32"/>
          <w:szCs w:val="32"/>
          <w:highlight w:val="none"/>
          <w:lang w:val="en-US" w:eastAsia="zh-CN" w:bidi="ar"/>
        </w:rPr>
        <w:t>（十二）省级科技计划专项2023的第一批重大疾病新药靶发现及新药创制全国重点实验室</w:t>
      </w:r>
    </w:p>
    <w:p w14:paraId="47F5243D">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此为省科技厅下达的2023年省级科技专项资金（科技计划第一批），主要用于推动重大疾病新药靶发现及新药创制全国重点实验室建设与发展。</w:t>
      </w:r>
    </w:p>
    <w:p w14:paraId="3A27124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1.绩效目标实现情况</w:t>
      </w:r>
    </w:p>
    <w:p w14:paraId="72C7E02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本项目年度预算700万元，因此资金2023年9月下旬才拨付，拨付时间晚，实际支出132.92万元，预算执行率18.99%。对照批复的绩效目标，2023年已招聘引进博士、硕士等高层次人才77名。围绕实验室重点研发攻关方向，开展了创新药物自主核心技术攻关3种，筛选了临床前候选原创新药1个。发表了研究论文7篇，申请了国家专利8项。实验室召开了国内外会议1次。吸引了上下游相关生物医药企业落户20余家，推动生物医药发展高质量发展。今年的绩效目标除发表论文与申请国家专利还未达到预计目标，其余已全部完成。</w:t>
      </w:r>
    </w:p>
    <w:p w14:paraId="4EE2EAB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Cs/>
          <w:color w:val="auto"/>
          <w:sz w:val="32"/>
          <w:szCs w:val="32"/>
          <w:highlight w:val="none"/>
          <w:lang w:val="en-US" w:eastAsia="zh-CN"/>
        </w:rPr>
      </w:pPr>
      <w:r>
        <w:rPr>
          <w:rFonts w:hint="eastAsia" w:ascii="华文宋体" w:hAnsi="华文宋体" w:eastAsia="仿宋_GB2312" w:cs="Times New Roman"/>
          <w:bCs/>
          <w:color w:val="auto"/>
          <w:sz w:val="32"/>
          <w:szCs w:val="32"/>
          <w:highlight w:val="none"/>
          <w:lang w:val="en-US" w:eastAsia="zh-CN"/>
        </w:rPr>
        <w:t>2.存在的问题和下一步改进措施</w:t>
      </w:r>
    </w:p>
    <w:p w14:paraId="5B0E6E1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olor w:val="auto"/>
          <w:sz w:val="32"/>
          <w:szCs w:val="32"/>
          <w:highlight w:val="none"/>
          <w:lang w:eastAsia="zh-CN"/>
        </w:rPr>
      </w:pPr>
      <w:r>
        <w:rPr>
          <w:rFonts w:hint="eastAsia" w:ascii="华文宋体" w:hAnsi="华文宋体" w:eastAsia="仿宋_GB2312" w:cs="Times New Roman"/>
          <w:bCs/>
          <w:color w:val="auto"/>
          <w:sz w:val="32"/>
          <w:szCs w:val="32"/>
          <w:highlight w:val="none"/>
          <w:lang w:val="en-US" w:eastAsia="zh-CN"/>
        </w:rPr>
        <w:t>无</w:t>
      </w:r>
    </w:p>
    <w:p w14:paraId="449749AA">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（十三）赣州科技大市场运营经费</w:t>
      </w:r>
    </w:p>
    <w:p w14:paraId="5F3A5722">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highlight w:val="none"/>
          <w:lang w:eastAsia="zh-CN"/>
        </w:rPr>
        <w:t>2023年赣州科技大市场运营经费为80万元、开展科技成果对接活动数9人、挖掘与发布赣州企业技术需求数137项、发布科技成果15087项、完成技术交易合同额5310.926万元、运营经费拨付准确率高、运营经费拨付及时率、赣州科技大市场正常运转率均达到100%、运营公司满意度达到90%。</w:t>
      </w:r>
    </w:p>
    <w:p w14:paraId="1BED2A1E">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（十四）江西国际移动物联网博览会会务费</w:t>
      </w:r>
    </w:p>
    <w:p w14:paraId="3294637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val="0"/>
          <w:bCs/>
          <w:color w:val="auto"/>
          <w:sz w:val="32"/>
          <w:szCs w:val="32"/>
          <w:highlight w:val="none"/>
          <w:lang w:eastAsia="zh-CN"/>
        </w:rPr>
      </w:pPr>
      <w:r>
        <w:rPr>
          <w:rFonts w:hint="eastAsia" w:ascii="华文宋体" w:hAnsi="华文宋体" w:eastAsia="仿宋_GB2312" w:cs="Times New Roman"/>
          <w:b w:val="0"/>
          <w:bCs/>
          <w:color w:val="auto"/>
          <w:sz w:val="32"/>
          <w:szCs w:val="32"/>
          <w:highlight w:val="none"/>
          <w:lang w:eastAsia="zh-CN"/>
        </w:rPr>
        <w:t>组委会变更展馆设置，不再设立地市展馆，因此此项工作无支出。</w:t>
      </w:r>
    </w:p>
    <w:p w14:paraId="7659C82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（十五）申报国家科技成果转移转化示范区工作经费</w:t>
      </w:r>
    </w:p>
    <w:p w14:paraId="1AE249A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val="0"/>
          <w:bCs/>
          <w:color w:val="auto"/>
          <w:sz w:val="32"/>
          <w:szCs w:val="32"/>
          <w:highlight w:val="none"/>
          <w:lang w:eastAsia="zh-CN"/>
        </w:rPr>
      </w:pPr>
      <w:r>
        <w:rPr>
          <w:rFonts w:hint="eastAsia" w:ascii="华文宋体" w:hAnsi="华文宋体" w:eastAsia="仿宋_GB2312" w:cs="Times New Roman"/>
          <w:b w:val="0"/>
          <w:bCs/>
          <w:color w:val="auto"/>
          <w:sz w:val="32"/>
          <w:szCs w:val="32"/>
          <w:highlight w:val="none"/>
          <w:lang w:eastAsia="zh-CN"/>
        </w:rPr>
        <w:t>该项目委托第三方编制实施方案，方案编制及时准确，按期通过评审，申报主管部门满意度80％以上。  2023年申报国家科技成果转移转化示范区专家评审及工作经费为0元、实施方案编制经费30万元、编制方案一个、方案阶段性成果评审通过率、方案编制按期完成率为100%、效益指标和满意度指标分别为80%和90%。各项指标均达到设定的绩效标准。</w:t>
      </w:r>
    </w:p>
    <w:p w14:paraId="75364BB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（十六）技术革新奖</w:t>
      </w:r>
    </w:p>
    <w:p w14:paraId="086B41B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val="0"/>
          <w:bCs/>
          <w:color w:val="auto"/>
          <w:sz w:val="32"/>
          <w:szCs w:val="32"/>
          <w:highlight w:val="none"/>
          <w:lang w:eastAsia="zh-CN"/>
        </w:rPr>
      </w:pPr>
      <w:r>
        <w:rPr>
          <w:rFonts w:hint="eastAsia" w:ascii="华文宋体" w:hAnsi="华文宋体" w:eastAsia="仿宋_GB2312" w:cs="Times New Roman"/>
          <w:b w:val="0"/>
          <w:bCs/>
          <w:color w:val="auto"/>
          <w:sz w:val="32"/>
          <w:szCs w:val="32"/>
          <w:highlight w:val="none"/>
          <w:lang w:eastAsia="zh-CN"/>
        </w:rPr>
        <w:t>该项目各年度指标均顺利完成。其中，成本指标中技术革新奖励10万元/项；产出指标技术革新奖数量30项、奖励对象资质符合率、奖励资金发放准确率、奖励资金发放及时率均达到100%；效益指标中技术革新成果推广率达到预期的80%、奖励对象满意度达到预定的90%。</w:t>
      </w:r>
    </w:p>
    <w:p w14:paraId="1C9FBF5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（十七）重大高新技术成果及项目产业化</w:t>
      </w:r>
    </w:p>
    <w:p w14:paraId="5C0862A8">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val="0"/>
          <w:bCs/>
          <w:color w:val="auto"/>
          <w:sz w:val="32"/>
          <w:szCs w:val="32"/>
          <w:highlight w:val="none"/>
          <w:lang w:eastAsia="zh-CN"/>
        </w:rPr>
      </w:pPr>
      <w:r>
        <w:rPr>
          <w:rFonts w:hint="eastAsia" w:ascii="华文宋体" w:hAnsi="华文宋体" w:eastAsia="仿宋_GB2312" w:cs="Times New Roman"/>
          <w:b w:val="0"/>
          <w:bCs/>
          <w:color w:val="auto"/>
          <w:sz w:val="32"/>
          <w:szCs w:val="32"/>
          <w:highlight w:val="none"/>
          <w:lang w:eastAsia="zh-CN"/>
        </w:rPr>
        <w:t>对照年度绩效指标，成本指标实际完成值为500万元/个；产出指标支持重大高新技术成果转化项目数9项、支持项目任务达标率达到百分之九十以上，资金发放准确率、资金发放及时率以及支持项目按期实施率均达到100%；效益指标和满意度指标也达到了100%。顺利完成了各项指标设定值。</w:t>
      </w:r>
    </w:p>
    <w:p w14:paraId="3127AD47">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（十八）技术革新项目奖励</w:t>
      </w:r>
    </w:p>
    <w:p w14:paraId="034E58EF">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val="0"/>
          <w:bCs/>
          <w:color w:val="auto"/>
          <w:sz w:val="32"/>
          <w:szCs w:val="32"/>
          <w:highlight w:val="none"/>
          <w:lang w:eastAsia="zh-CN"/>
        </w:rPr>
      </w:pPr>
      <w:r>
        <w:rPr>
          <w:rFonts w:hint="eastAsia" w:ascii="华文宋体" w:hAnsi="华文宋体" w:eastAsia="仿宋_GB2312" w:cs="Times New Roman"/>
          <w:b w:val="0"/>
          <w:bCs/>
          <w:color w:val="auto"/>
          <w:sz w:val="32"/>
          <w:szCs w:val="32"/>
          <w:highlight w:val="none"/>
          <w:lang w:eastAsia="zh-CN"/>
        </w:rPr>
        <w:t>评选30个工业企业技术革新优秀团队或个人,对每个团队或个人奖励 10 万元，奖励对象资质符合率、奖励资金发放准确率、奖励资金发放及时率均达到100%；技术革新成果推广率为80%、奖励对象满意度为90%，均达到了绩效目标。</w:t>
      </w:r>
    </w:p>
    <w:p w14:paraId="384B59A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（十九）省级科技专项(江西省三区人才支持计划科技人员专项计划)</w:t>
      </w:r>
    </w:p>
    <w:p w14:paraId="7807C09B">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lang w:eastAsia="zh-CN"/>
        </w:rPr>
        <w:t>2023年依据《江西省科学技术厅关于下达2023年省级科技专项资金（科技计划提前批省直单位、科技计划第一批）项目的通知》（赣科发计字〔2023〕52号）和《赣州市科技局关于转发2023年省级科技专项资金（科技计划第一批）项目的通知》（赣市科发〔20</w:t>
      </w:r>
      <w:r>
        <w:rPr>
          <w:rFonts w:hint="eastAsia" w:ascii="华文宋体" w:hAnsi="华文宋体" w:eastAsia="仿宋_GB2312"/>
          <w:highlight w:val="none"/>
          <w:lang w:eastAsia="zh-CN"/>
        </w:rPr>
        <w:t>23〕29号）设立本项目，主要用于三区人才支持计划科技人员专项计划。</w:t>
      </w:r>
    </w:p>
    <w:p w14:paraId="3BC597D7">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highlight w:val="none"/>
          <w:lang w:eastAsia="zh-CN"/>
        </w:rPr>
        <w:t>1.绩效目标实现情况</w:t>
      </w:r>
    </w:p>
    <w:p w14:paraId="08469F0C">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highlight w:val="none"/>
          <w:lang w:eastAsia="zh-CN"/>
        </w:rPr>
        <w:t>本项目年度总预算246万元，支持123位三区人才科技特派员，人均经费2万元，实际支出246万元，其中有两位赣江院科技特派员经费共4万元由市科技局代拨，预算执行率100%。对照批复的绩效目标，主要完成2023年三区人才工作经费拨付工作。围绕赣州市各县(市、区)的科技需求，从赣南科学院等科研院所选派123名科技人员担任科技特派员，组建28个科技特派团，开展政策宣讲、科技金融、民族乡村共同振兴和农村农业科技、技术培训、技术难题攻关等工作。重点围绕会昌珠兰乡、会昌麻州镇、崇义水南村、赣州吉埠新村等35个重点帮扶村，开展科技服务，助力巩固脱贫攻坚成果和乡村振兴有效衔接。</w:t>
      </w:r>
    </w:p>
    <w:p w14:paraId="5D375A66">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highlight w:val="none"/>
          <w:lang w:eastAsia="zh-CN"/>
        </w:rPr>
        <w:t>2.存在的问题和下一步改进措施</w:t>
      </w:r>
    </w:p>
    <w:p w14:paraId="5541C128">
      <w:pPr>
        <w:keepNext w:val="0"/>
        <w:keepLines w:val="0"/>
        <w:pageBreakBefore w:val="0"/>
        <w:kinsoku/>
        <w:wordWrap/>
        <w:overflowPunct/>
        <w:topLinePunct w:val="0"/>
        <w:autoSpaceDE/>
        <w:autoSpaceDN/>
        <w:bidi w:val="0"/>
        <w:spacing w:line="560" w:lineRule="exact"/>
        <w:ind w:firstLine="632" w:firstLineChars="200"/>
        <w:rPr>
          <w:rFonts w:hint="eastAsia" w:ascii="华文宋体" w:hAnsi="华文宋体" w:eastAsia="仿宋_GB2312"/>
          <w:highlight w:val="none"/>
          <w:lang w:eastAsia="zh-CN"/>
        </w:rPr>
      </w:pPr>
      <w:r>
        <w:rPr>
          <w:rFonts w:hint="eastAsia" w:ascii="华文宋体" w:hAnsi="华文宋体" w:eastAsia="仿宋_GB2312"/>
          <w:highlight w:val="none"/>
          <w:lang w:eastAsia="zh-CN"/>
        </w:rPr>
        <w:t>无</w:t>
      </w:r>
    </w:p>
    <w:p w14:paraId="451D93BB">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（二十）清华大学—赣州英才奖学金</w:t>
      </w:r>
    </w:p>
    <w:p w14:paraId="4049DEEC">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2019年12月，副市长胡聚文代表市政府签订《赣州市人民政府 清华大学共建研究生社会实践赣州基地协议书》（2023年续签），设立本项目，主要用于“清华大学——赣州英才奖学金”重大科技项目。</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1.绩效目标实现情况</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本项目年度预算50万元，1～12月计划支出50万元，实际支出50万元，预算执行率100%。对照批复的绩效目标，主要完成2023年清华大学博士生实践项目工作。</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2.存在的问题和下一步改进措施</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无</w:t>
      </w:r>
    </w:p>
    <w:p w14:paraId="66F513B3">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（二十一）省级人才发展专项资金</w:t>
      </w:r>
    </w:p>
    <w:p w14:paraId="2BBE172A">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eastAsia" w:ascii="华文宋体" w:hAnsi="华文宋体" w:eastAsia="仿宋_GB2312" w:cs="仿宋_GB2312"/>
          <w:b w:val="0"/>
          <w:bCs w:val="0"/>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该资金来源省级人才发展专项资金，</w:t>
      </w:r>
      <w:r>
        <w:rPr>
          <w:rFonts w:hint="default" w:ascii="华文宋体" w:hAnsi="华文宋体" w:eastAsia="仿宋_GB2312" w:cs="仿宋_GB2312"/>
          <w:b w:val="0"/>
          <w:bCs w:val="0"/>
          <w:color w:val="auto"/>
          <w:sz w:val="32"/>
          <w:szCs w:val="32"/>
          <w:highlight w:val="none"/>
          <w:lang w:val="en-US" w:eastAsia="zh-CN"/>
        </w:rPr>
        <w:t>属</w:t>
      </w:r>
      <w:r>
        <w:rPr>
          <w:rFonts w:hint="eastAsia" w:ascii="华文宋体" w:hAnsi="华文宋体" w:eastAsia="仿宋_GB2312" w:cs="仿宋_GB2312"/>
          <w:color w:val="auto"/>
          <w:sz w:val="32"/>
          <w:szCs w:val="32"/>
          <w:highlight w:val="none"/>
          <w:lang w:val="en-US" w:eastAsia="zh-CN"/>
        </w:rPr>
        <w:t>上级专项转移支付资金，不在本级预算范围，</w:t>
      </w:r>
      <w:r>
        <w:rPr>
          <w:rFonts w:hint="eastAsia" w:ascii="华文宋体" w:hAnsi="华文宋体" w:eastAsia="仿宋_GB2312" w:cs="仿宋_GB2312"/>
          <w:b w:val="0"/>
          <w:bCs w:val="0"/>
          <w:color w:val="auto"/>
          <w:sz w:val="32"/>
          <w:szCs w:val="32"/>
          <w:highlight w:val="none"/>
          <w:lang w:val="en-US" w:eastAsia="zh-CN"/>
        </w:rPr>
        <w:t>为江西省人才工程</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SQJH</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eastAsia="zh-CN"/>
        </w:rPr>
        <w:t>入选者专项资金</w:t>
      </w:r>
      <w:r>
        <w:rPr>
          <w:rFonts w:hint="eastAsia" w:ascii="华文宋体" w:hAnsi="华文宋体" w:eastAsia="仿宋_GB2312" w:cs="仿宋_GB2312"/>
          <w:b w:val="0"/>
          <w:bCs w:val="0"/>
          <w:color w:val="auto"/>
          <w:sz w:val="32"/>
          <w:szCs w:val="32"/>
          <w:highlight w:val="none"/>
          <w:lang w:val="en-US" w:eastAsia="zh-CN"/>
        </w:rPr>
        <w:t>，由省委人才办组织实施。</w:t>
      </w:r>
    </w:p>
    <w:p w14:paraId="644D62C8">
      <w:pPr>
        <w:keepNext w:val="0"/>
        <w:keepLines w:val="0"/>
        <w:pageBreakBefore w:val="0"/>
        <w:kinsoku/>
        <w:wordWrap/>
        <w:overflowPunct/>
        <w:topLinePunct w:val="0"/>
        <w:autoSpaceDE/>
        <w:autoSpaceDN/>
        <w:bidi w:val="0"/>
        <w:spacing w:line="560" w:lineRule="exact"/>
        <w:ind w:left="0" w:leftChars="0" w:firstLine="641"/>
        <w:jc w:val="both"/>
        <w:textAlignment w:val="auto"/>
        <w:rPr>
          <w:rFonts w:hint="eastAsia" w:ascii="华文宋体" w:hAnsi="华文宋体" w:eastAsia="仿宋_GB2312" w:cs="仿宋_GB2312"/>
          <w:b w:val="0"/>
          <w:bCs w:val="0"/>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2019年筹建中国科学院赣江创新研究院时将筹建办设立在市科技局，为便于规集市级支持赣江院的资金，市财政局均将市本级各部门对赣江院支持资金全部汇集于市科技局，再由市科技局转拨至赣江院。</w:t>
      </w:r>
    </w:p>
    <w:p w14:paraId="27B2C82F">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eastAsia" w:ascii="华文宋体" w:hAnsi="华文宋体" w:eastAsia="仿宋_GB2312" w:cs="仿宋_GB2312"/>
          <w:b w:val="0"/>
          <w:bCs w:val="0"/>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1.绩效目标实现情况</w:t>
      </w:r>
    </w:p>
    <w:p w14:paraId="2A82EF75">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default" w:ascii="华文宋体" w:hAnsi="华文宋体" w:eastAsia="仿宋_GB2312"/>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根据《关于下达2023年第二批省级人才发展专项资金的通知》（赣市财行字〔2023〕31号，不予公开），中国科学院赣江创新研究院</w:t>
      </w:r>
      <w:r>
        <w:rPr>
          <w:rFonts w:hint="default" w:ascii="华文宋体" w:hAnsi="华文宋体" w:eastAsia="仿宋_GB2312" w:cs="仿宋_GB2312"/>
          <w:b w:val="0"/>
          <w:bCs w:val="0"/>
          <w:color w:val="auto"/>
          <w:sz w:val="32"/>
          <w:szCs w:val="32"/>
          <w:highlight w:val="none"/>
          <w:lang w:val="en-US" w:eastAsia="zh-CN"/>
        </w:rPr>
        <w:t>入选</w:t>
      </w:r>
      <w:r>
        <w:rPr>
          <w:rFonts w:hint="eastAsia" w:ascii="华文宋体" w:hAnsi="华文宋体" w:eastAsia="仿宋_GB2312" w:cs="仿宋_GB2312"/>
          <w:b w:val="0"/>
          <w:bCs w:val="0"/>
          <w:color w:val="auto"/>
          <w:sz w:val="32"/>
          <w:szCs w:val="32"/>
          <w:highlight w:val="none"/>
          <w:lang w:val="en-US" w:eastAsia="zh-CN"/>
        </w:rPr>
        <w:t>江西省人才工程</w:t>
      </w:r>
      <w:r>
        <w:rPr>
          <w:rFonts w:hint="default" w:ascii="华文宋体" w:hAnsi="华文宋体" w:eastAsia="仿宋_GB2312" w:cs="仿宋_GB2312"/>
          <w:b w:val="0"/>
          <w:bCs w:val="0"/>
          <w:color w:val="auto"/>
          <w:sz w:val="32"/>
          <w:szCs w:val="32"/>
          <w:highlight w:val="none"/>
          <w:lang w:val="en-US" w:eastAsia="zh-CN"/>
        </w:rPr>
        <w:t>“</w:t>
      </w:r>
      <w:r>
        <w:rPr>
          <w:rFonts w:hint="eastAsia" w:ascii="华文宋体" w:hAnsi="华文宋体" w:eastAsia="仿宋_GB2312" w:cs="仿宋_GB2312"/>
          <w:b w:val="0"/>
          <w:bCs w:val="0"/>
          <w:color w:val="auto"/>
          <w:sz w:val="32"/>
          <w:szCs w:val="32"/>
          <w:highlight w:val="none"/>
          <w:lang w:val="en-US" w:eastAsia="zh-CN"/>
        </w:rPr>
        <w:t>SQJH</w:t>
      </w:r>
      <w:r>
        <w:rPr>
          <w:rFonts w:hint="default" w:ascii="华文宋体" w:hAnsi="华文宋体" w:eastAsia="仿宋_GB2312" w:cs="仿宋_GB2312"/>
          <w:b w:val="0"/>
          <w:bCs w:val="0"/>
          <w:color w:val="auto"/>
          <w:sz w:val="32"/>
          <w:szCs w:val="32"/>
          <w:highlight w:val="none"/>
          <w:lang w:val="en-US" w:eastAsia="zh-CN"/>
        </w:rPr>
        <w:t>”</w:t>
      </w:r>
      <w:r>
        <w:rPr>
          <w:rFonts w:hint="eastAsia" w:ascii="华文宋体" w:hAnsi="华文宋体" w:eastAsia="仿宋_GB2312" w:cs="仿宋_GB2312"/>
          <w:b w:val="0"/>
          <w:bCs w:val="0"/>
          <w:color w:val="auto"/>
          <w:sz w:val="32"/>
          <w:szCs w:val="32"/>
          <w:highlight w:val="none"/>
          <w:lang w:val="en-US" w:eastAsia="zh-CN"/>
        </w:rPr>
        <w:t>专项经费</w:t>
      </w:r>
      <w:r>
        <w:rPr>
          <w:rFonts w:hint="default" w:ascii="华文宋体" w:hAnsi="华文宋体" w:eastAsia="仿宋_GB2312" w:cs="仿宋_GB2312"/>
          <w:b w:val="0"/>
          <w:bCs w:val="0"/>
          <w:color w:val="auto"/>
          <w:sz w:val="32"/>
          <w:szCs w:val="32"/>
          <w:highlight w:val="none"/>
          <w:lang w:val="en-US" w:eastAsia="zh-CN"/>
        </w:rPr>
        <w:t>615</w:t>
      </w:r>
      <w:r>
        <w:rPr>
          <w:rFonts w:hint="eastAsia" w:ascii="华文宋体" w:hAnsi="华文宋体" w:eastAsia="仿宋_GB2312" w:cs="仿宋_GB2312"/>
          <w:b w:val="0"/>
          <w:bCs w:val="0"/>
          <w:color w:val="auto"/>
          <w:sz w:val="32"/>
          <w:szCs w:val="32"/>
          <w:highlight w:val="none"/>
          <w:lang w:val="en-US" w:eastAsia="zh-CN"/>
        </w:rPr>
        <w:t>万元，市科技局于2023年12月25日全额拨付615万元，拨付及时率100%。</w:t>
      </w:r>
    </w:p>
    <w:p w14:paraId="1CA978E7">
      <w:pPr>
        <w:pStyle w:val="8"/>
        <w:keepNext w:val="0"/>
        <w:keepLines w:val="0"/>
        <w:pageBreakBefore w:val="0"/>
        <w:widowControl/>
        <w:numPr>
          <w:ilvl w:val="0"/>
          <w:numId w:val="0"/>
        </w:numPr>
        <w:suppressLineNumbers w:val="0"/>
        <w:shd w:val="clear" w:color="auto" w:fill="auto"/>
        <w:kinsoku/>
        <w:wordWrap/>
        <w:overflowPunct/>
        <w:topLinePunct w:val="0"/>
        <w:autoSpaceDE/>
        <w:autoSpaceDN/>
        <w:bidi w:val="0"/>
        <w:spacing w:before="0" w:beforeAutospacing="0" w:after="0" w:afterAutospacing="0" w:line="560" w:lineRule="exact"/>
        <w:ind w:right="0" w:rightChars="0" w:firstLine="632" w:firstLineChars="200"/>
        <w:jc w:val="left"/>
        <w:textAlignment w:val="auto"/>
        <w:rPr>
          <w:rFonts w:hint="eastAsia" w:ascii="华文宋体" w:hAnsi="华文宋体" w:eastAsia="仿宋_GB2312" w:cs="仿宋_GB2312"/>
          <w:b w:val="0"/>
          <w:bCs w:val="0"/>
          <w:i w:val="0"/>
          <w:iCs w:val="0"/>
          <w:caps w:val="0"/>
          <w:color w:val="auto"/>
          <w:spacing w:val="0"/>
          <w:sz w:val="32"/>
          <w:szCs w:val="32"/>
          <w:highlight w:val="none"/>
          <w:shd w:val="clear" w:color="auto" w:fill="auto"/>
        </w:rPr>
      </w:pP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2.存在的问题和下一步改进措施</w:t>
      </w:r>
    </w:p>
    <w:p w14:paraId="2213B69D">
      <w:pPr>
        <w:pStyle w:val="8"/>
        <w:keepNext w:val="0"/>
        <w:keepLines w:val="0"/>
        <w:pageBreakBefore w:val="0"/>
        <w:widowControl/>
        <w:numPr>
          <w:ilvl w:val="0"/>
          <w:numId w:val="0"/>
        </w:numPr>
        <w:suppressLineNumbers w:val="0"/>
        <w:shd w:val="clear" w:color="auto" w:fill="auto"/>
        <w:kinsoku/>
        <w:wordWrap/>
        <w:overflowPunct/>
        <w:topLinePunct w:val="0"/>
        <w:autoSpaceDE/>
        <w:autoSpaceDN/>
        <w:bidi w:val="0"/>
        <w:spacing w:before="0" w:beforeAutospacing="0" w:after="0" w:afterAutospacing="0" w:line="560" w:lineRule="exact"/>
        <w:ind w:right="0" w:rightChars="0" w:firstLine="632" w:firstLineChars="200"/>
        <w:jc w:val="left"/>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无</w:t>
      </w:r>
    </w:p>
    <w:p w14:paraId="1BFE33E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（二十二）科创飞地建设奖补专项</w:t>
      </w:r>
    </w:p>
    <w:p w14:paraId="0ECF878C">
      <w:pPr>
        <w:pStyle w:val="8"/>
        <w:keepNext w:val="0"/>
        <w:keepLines w:val="0"/>
        <w:pageBreakBefore w:val="0"/>
        <w:widowControl/>
        <w:numPr>
          <w:ilvl w:val="0"/>
          <w:numId w:val="0"/>
        </w:numPr>
        <w:suppressLineNumbers w:val="0"/>
        <w:shd w:val="clear" w:color="auto" w:fill="FFFFFF"/>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rPr>
          <w:rFonts w:hint="eastAsia" w:ascii="华文宋体" w:hAnsi="华文宋体" w:eastAsia="仿宋_GB2312" w:cs="仿宋_GB2312"/>
          <w:b w:val="0"/>
          <w:bCs w:val="0"/>
          <w:i w:val="0"/>
          <w:iCs w:val="0"/>
          <w:caps w:val="0"/>
          <w:color w:val="auto"/>
          <w:spacing w:val="0"/>
          <w:sz w:val="32"/>
          <w:szCs w:val="32"/>
          <w:highlight w:val="none"/>
          <w:shd w:val="clear" w:color="auto" w:fill="FFFFFF"/>
        </w:rPr>
      </w:pP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2023年依据市科技局《赣州市“科创飞地”认定管理办法（试行）》（赣市科发〔2022〕8号）安排设立本项目，负责全市科创飞地项目的推进实施、督导考核，主要用于科创飞地建设奖补。</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1.绩效目标实现情况</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本项目年度预算350万元，1～12月计划支出350万元，实际支出350万元，预算执行率100%。对照批复的绩效目标，主要完成2023年度科创飞地评审、立项和2022年度立项科创飞地中期考核等工作。</w:t>
      </w:r>
    </w:p>
    <w:p w14:paraId="1DEB89E1">
      <w:pPr>
        <w:pStyle w:val="8"/>
        <w:keepNext w:val="0"/>
        <w:keepLines w:val="0"/>
        <w:pageBreakBefore w:val="0"/>
        <w:widowControl/>
        <w:numPr>
          <w:ilvl w:val="0"/>
          <w:numId w:val="0"/>
        </w:numPr>
        <w:suppressLineNumbers w:val="0"/>
        <w:shd w:val="clear" w:color="auto" w:fill="FFFFFF"/>
        <w:kinsoku/>
        <w:wordWrap/>
        <w:overflowPunct/>
        <w:topLinePunct w:val="0"/>
        <w:autoSpaceDE/>
        <w:autoSpaceDN/>
        <w:bidi w:val="0"/>
        <w:spacing w:before="0" w:beforeAutospacing="0" w:after="0" w:afterAutospacing="0" w:line="560" w:lineRule="exact"/>
        <w:ind w:left="632" w:leftChars="200" w:right="0" w:rightChars="0" w:firstLine="0" w:firstLineChars="0"/>
        <w:jc w:val="both"/>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2.</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存在的问题和下一步改进措施</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无</w:t>
      </w:r>
    </w:p>
    <w:p w14:paraId="453A6A6A">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（二十三）周末工程师人才驿站项目</w:t>
      </w:r>
    </w:p>
    <w:p w14:paraId="2B106BC7">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32" w:firstLineChars="200"/>
        <w:jc w:val="both"/>
        <w:textAlignment w:val="auto"/>
        <w:outlineLvl w:val="9"/>
        <w:rPr>
          <w:rFonts w:hint="default" w:ascii="华文宋体" w:hAnsi="华文宋体" w:eastAsia="仿宋_GB2312" w:cs="仿宋_GB2312"/>
          <w:color w:val="auto"/>
          <w:spacing w:val="0"/>
          <w:sz w:val="32"/>
          <w:szCs w:val="32"/>
          <w:highlight w:val="none"/>
          <w:lang w:val="en-US"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2023年依据市科技局《赣州市“周末工程师人才驿站”认定管理办法（试行）》（赣市科</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eastAsia="zh-CN"/>
        </w:rPr>
        <w:t>赋字</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〔2022〕</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val="en-US" w:eastAsia="zh-CN"/>
        </w:rPr>
        <w:t>1</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号）安排设立本项目，</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eastAsia="zh-CN"/>
        </w:rPr>
        <w:t>旨在推动全市“周末工程师人才驿站”</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rPr>
        <w:t>的</w:t>
      </w:r>
      <w:r>
        <w:rPr>
          <w:rFonts w:hint="eastAsia" w:ascii="华文宋体" w:hAnsi="华文宋体" w:eastAsia="仿宋_GB2312" w:cs="仿宋_GB2312"/>
          <w:b w:val="0"/>
          <w:bCs w:val="0"/>
          <w:i w:val="0"/>
          <w:iCs w:val="0"/>
          <w:caps w:val="0"/>
          <w:color w:val="auto"/>
          <w:spacing w:val="0"/>
          <w:sz w:val="32"/>
          <w:szCs w:val="32"/>
          <w:highlight w:val="none"/>
          <w:shd w:val="clear" w:color="auto" w:fill="FFFFFF"/>
          <w:lang w:eastAsia="zh-CN"/>
        </w:rPr>
        <w:t>建设，打造柔性引才平台，主要用于</w:t>
      </w:r>
      <w:r>
        <w:rPr>
          <w:rFonts w:hint="eastAsia" w:ascii="华文宋体" w:hAnsi="华文宋体" w:eastAsia="仿宋_GB2312" w:cs="仿宋_GB2312"/>
          <w:color w:val="auto"/>
          <w:spacing w:val="0"/>
          <w:sz w:val="32"/>
          <w:szCs w:val="32"/>
          <w:highlight w:val="none"/>
          <w:lang w:val="en-US" w:eastAsia="zh-CN"/>
        </w:rPr>
        <w:t>“周末工程师”交通保障、餐饮住宿、专家咨询费以及日常办公管理等支出。</w:t>
      </w:r>
    </w:p>
    <w:p w14:paraId="6F93FF66">
      <w:pPr>
        <w:pStyle w:val="8"/>
        <w:keepNext w:val="0"/>
        <w:keepLines w:val="0"/>
        <w:pageBreakBefore w:val="0"/>
        <w:widowControl/>
        <w:numPr>
          <w:ilvl w:val="0"/>
          <w:numId w:val="0"/>
        </w:numPr>
        <w:suppressLineNumbers w:val="0"/>
        <w:shd w:val="clear" w:color="auto" w:fill="auto"/>
        <w:kinsoku/>
        <w:wordWrap/>
        <w:overflowPunct/>
        <w:topLinePunct w:val="0"/>
        <w:autoSpaceDE/>
        <w:autoSpaceDN/>
        <w:bidi w:val="0"/>
        <w:spacing w:before="0" w:beforeAutospacing="0" w:after="0" w:afterAutospacing="0" w:line="560" w:lineRule="exact"/>
        <w:ind w:left="0" w:leftChars="0" w:right="0" w:rightChars="0" w:firstLine="632" w:firstLineChars="200"/>
        <w:jc w:val="left"/>
        <w:textAlignment w:val="auto"/>
        <w:rPr>
          <w:rFonts w:hint="eastAsia" w:ascii="华文宋体" w:hAnsi="华文宋体" w:eastAsia="仿宋_GB2312" w:cs="仿宋_GB2312"/>
          <w:b w:val="0"/>
          <w:bCs w:val="0"/>
          <w:i w:val="0"/>
          <w:iCs w:val="0"/>
          <w:caps w:val="0"/>
          <w:color w:val="auto"/>
          <w:spacing w:val="0"/>
          <w:sz w:val="32"/>
          <w:szCs w:val="32"/>
          <w:highlight w:val="none"/>
          <w:shd w:val="clear" w:color="auto" w:fill="auto"/>
        </w:rPr>
      </w:pP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1.绩效目标实现情况</w:t>
      </w:r>
    </w:p>
    <w:p w14:paraId="072052C9">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本项目年度预算200万元，1～12月计划支出200万元，实际支出</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20</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0万元，预算执行率</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100</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%。对照批复的绩效目标，主要完成202</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3</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年“</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eastAsia="zh-CN"/>
        </w:rPr>
        <w:t>周末工程师人才驿站</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”项目</w:t>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eastAsia="zh-CN"/>
        </w:rPr>
        <w:t>评审、立项</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工作。</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2.存在的问题和下一步改进措施</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auto"/>
          <w:lang w:val="en-US" w:eastAsia="zh-CN"/>
        </w:rPr>
        <w:t xml:space="preserve">    </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无</w:t>
      </w:r>
    </w:p>
    <w:p w14:paraId="716D8B8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cs="Times New Roman"/>
          <w:b/>
          <w:bCs w:val="0"/>
          <w:color w:val="auto"/>
          <w:sz w:val="32"/>
          <w:szCs w:val="32"/>
          <w:highlight w:val="none"/>
          <w:lang w:eastAsia="zh-CN"/>
        </w:rPr>
      </w:pPr>
      <w:r>
        <w:rPr>
          <w:rFonts w:hint="eastAsia" w:ascii="华文宋体" w:hAnsi="华文宋体" w:eastAsia="仿宋_GB2312" w:cs="Times New Roman"/>
          <w:b/>
          <w:bCs w:val="0"/>
          <w:color w:val="auto"/>
          <w:sz w:val="32"/>
          <w:szCs w:val="32"/>
          <w:highlight w:val="none"/>
          <w:lang w:eastAsia="zh-CN"/>
        </w:rPr>
        <w:t>（二十四）苏区之光人才经费</w:t>
      </w:r>
    </w:p>
    <w:p w14:paraId="50344973">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eastAsia" w:ascii="华文宋体" w:hAnsi="华文宋体" w:eastAsia="仿宋_GB2312" w:cs="仿宋_GB2312"/>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该资金来源赣州市“苏区之光”人才计划人员项目资助经费，由市委人才办组织实施</w:t>
      </w:r>
      <w:r>
        <w:rPr>
          <w:rFonts w:hint="eastAsia" w:ascii="华文宋体" w:hAnsi="华文宋体" w:eastAsia="仿宋_GB2312" w:cs="仿宋_GB2312"/>
          <w:color w:val="auto"/>
          <w:sz w:val="32"/>
          <w:szCs w:val="32"/>
          <w:highlight w:val="none"/>
          <w:lang w:val="en-US" w:eastAsia="zh-CN"/>
        </w:rPr>
        <w:t>。</w:t>
      </w:r>
    </w:p>
    <w:p w14:paraId="55CD7632">
      <w:pPr>
        <w:keepNext w:val="0"/>
        <w:keepLines w:val="0"/>
        <w:pageBreakBefore w:val="0"/>
        <w:kinsoku/>
        <w:wordWrap/>
        <w:overflowPunct/>
        <w:topLinePunct w:val="0"/>
        <w:autoSpaceDE/>
        <w:autoSpaceDN/>
        <w:bidi w:val="0"/>
        <w:spacing w:line="560" w:lineRule="exact"/>
        <w:ind w:left="0" w:leftChars="0" w:firstLine="641"/>
        <w:jc w:val="both"/>
        <w:textAlignment w:val="auto"/>
        <w:rPr>
          <w:rFonts w:hint="eastAsia" w:ascii="华文宋体" w:hAnsi="华文宋体" w:eastAsia="仿宋_GB2312" w:cs="仿宋_GB2312"/>
          <w:b w:val="0"/>
          <w:bCs w:val="0"/>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2019年筹建中国科学院赣江创新研究院时将筹建办设立在市科技局，为便于规集市级支持赣江院的资金，市财政局均将市本级各部门对赣江院支持资金全部汇集于市科技局，再由市科技局转拨至赣江院。</w:t>
      </w:r>
    </w:p>
    <w:p w14:paraId="6A34A4BD">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eastAsia" w:ascii="华文宋体" w:hAnsi="华文宋体" w:eastAsia="仿宋_GB2312" w:cs="仿宋_GB2312"/>
          <w:b w:val="0"/>
          <w:bCs w:val="0"/>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1.绩效目标实现情况</w:t>
      </w:r>
    </w:p>
    <w:p w14:paraId="1777CC6E">
      <w:pPr>
        <w:keepNext w:val="0"/>
        <w:keepLines w:val="0"/>
        <w:pageBreakBefore w:val="0"/>
        <w:numPr>
          <w:ilvl w:val="0"/>
          <w:numId w:val="0"/>
        </w:numPr>
        <w:kinsoku/>
        <w:wordWrap/>
        <w:overflowPunct/>
        <w:topLinePunct w:val="0"/>
        <w:autoSpaceDE/>
        <w:autoSpaceDN/>
        <w:bidi w:val="0"/>
        <w:spacing w:line="560" w:lineRule="exact"/>
        <w:ind w:left="0" w:leftChars="0" w:firstLine="632" w:firstLineChars="200"/>
        <w:textAlignment w:val="auto"/>
        <w:rPr>
          <w:rFonts w:hint="default" w:ascii="华文宋体" w:hAnsi="华文宋体" w:eastAsia="仿宋_GB2312"/>
          <w:color w:val="auto"/>
          <w:sz w:val="32"/>
          <w:szCs w:val="32"/>
          <w:highlight w:val="none"/>
          <w:lang w:val="en-US" w:eastAsia="zh-CN"/>
        </w:rPr>
      </w:pPr>
      <w:r>
        <w:rPr>
          <w:rFonts w:hint="eastAsia" w:ascii="华文宋体" w:hAnsi="华文宋体" w:eastAsia="仿宋_GB2312" w:cs="仿宋_GB2312"/>
          <w:b w:val="0"/>
          <w:bCs w:val="0"/>
          <w:color w:val="auto"/>
          <w:sz w:val="32"/>
          <w:szCs w:val="32"/>
          <w:highlight w:val="none"/>
          <w:lang w:val="en-US" w:eastAsia="zh-CN"/>
        </w:rPr>
        <w:t>根据《关于下达2023年赣州市“苏区之光”人才计划人员项目资助经费的通知》（赣市财行字〔2023〕59号），中国科学院赣江创新研究院</w:t>
      </w:r>
      <w:r>
        <w:rPr>
          <w:rFonts w:hint="default" w:ascii="华文宋体" w:hAnsi="华文宋体" w:eastAsia="仿宋_GB2312" w:cs="仿宋_GB2312"/>
          <w:b w:val="0"/>
          <w:bCs w:val="0"/>
          <w:color w:val="auto"/>
          <w:sz w:val="32"/>
          <w:szCs w:val="32"/>
          <w:highlight w:val="none"/>
          <w:lang w:val="en-US" w:eastAsia="zh-CN"/>
        </w:rPr>
        <w:t>入选</w:t>
      </w:r>
      <w:r>
        <w:rPr>
          <w:rFonts w:hint="eastAsia" w:ascii="华文宋体" w:hAnsi="华文宋体" w:eastAsia="仿宋_GB2312" w:cs="仿宋_GB2312"/>
          <w:b w:val="0"/>
          <w:bCs w:val="0"/>
          <w:color w:val="auto"/>
          <w:sz w:val="32"/>
          <w:szCs w:val="32"/>
          <w:highlight w:val="none"/>
          <w:lang w:val="en-US" w:eastAsia="zh-CN"/>
        </w:rPr>
        <w:t>“苏区之光”人才计划经费15</w:t>
      </w:r>
      <w:r>
        <w:rPr>
          <w:rFonts w:hint="default" w:ascii="华文宋体" w:hAnsi="华文宋体" w:eastAsia="仿宋_GB2312" w:cs="仿宋_GB2312"/>
          <w:b w:val="0"/>
          <w:bCs w:val="0"/>
          <w:color w:val="auto"/>
          <w:sz w:val="32"/>
          <w:szCs w:val="32"/>
          <w:highlight w:val="none"/>
          <w:lang w:val="en-US" w:eastAsia="zh-CN"/>
        </w:rPr>
        <w:t>5</w:t>
      </w:r>
      <w:r>
        <w:rPr>
          <w:rFonts w:hint="eastAsia" w:ascii="华文宋体" w:hAnsi="华文宋体" w:eastAsia="仿宋_GB2312" w:cs="仿宋_GB2312"/>
          <w:b w:val="0"/>
          <w:bCs w:val="0"/>
          <w:color w:val="auto"/>
          <w:sz w:val="32"/>
          <w:szCs w:val="32"/>
          <w:highlight w:val="none"/>
          <w:lang w:val="en-US" w:eastAsia="zh-CN"/>
        </w:rPr>
        <w:t>万元，市科技局于2023年12月25日全额拨付155万元，拨付及时率100%。</w:t>
      </w:r>
    </w:p>
    <w:p w14:paraId="49B9ED2E">
      <w:pPr>
        <w:pStyle w:val="8"/>
        <w:keepNext w:val="0"/>
        <w:keepLines w:val="0"/>
        <w:pageBreakBefore w:val="0"/>
        <w:widowControl/>
        <w:numPr>
          <w:ilvl w:val="0"/>
          <w:numId w:val="0"/>
        </w:numPr>
        <w:suppressLineNumbers w:val="0"/>
        <w:shd w:val="clear" w:color="auto" w:fill="auto"/>
        <w:kinsoku/>
        <w:wordWrap/>
        <w:overflowPunct/>
        <w:topLinePunct w:val="0"/>
        <w:autoSpaceDE/>
        <w:autoSpaceDN/>
        <w:bidi w:val="0"/>
        <w:spacing w:before="0" w:beforeAutospacing="0" w:after="0" w:afterAutospacing="0" w:line="560" w:lineRule="exact"/>
        <w:ind w:left="960" w:leftChars="304" w:right="0" w:rightChars="0" w:firstLine="0" w:firstLineChars="0"/>
        <w:jc w:val="left"/>
        <w:textAlignment w:val="auto"/>
        <w:rPr>
          <w:rFonts w:hint="eastAsia" w:ascii="华文宋体" w:hAnsi="华文宋体" w:eastAsia="仿宋_GB2312"/>
          <w:highlight w:val="none"/>
          <w:lang w:eastAsia="zh-CN"/>
        </w:rPr>
      </w:pP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2.存在的问题和下一步改进措施</w:t>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br w:type="textWrapping"/>
      </w:r>
      <w:r>
        <w:rPr>
          <w:rFonts w:hint="eastAsia" w:ascii="华文宋体" w:hAnsi="华文宋体" w:eastAsia="仿宋_GB2312" w:cs="仿宋_GB2312"/>
          <w:b w:val="0"/>
          <w:bCs w:val="0"/>
          <w:i w:val="0"/>
          <w:iCs w:val="0"/>
          <w:caps w:val="0"/>
          <w:color w:val="auto"/>
          <w:spacing w:val="0"/>
          <w:sz w:val="32"/>
          <w:szCs w:val="32"/>
          <w:highlight w:val="none"/>
          <w:shd w:val="clear" w:color="auto" w:fill="auto"/>
        </w:rPr>
        <w:t>无</w:t>
      </w:r>
    </w:p>
    <w:p w14:paraId="19D56B9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none"/>
          <w:lang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二十五</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中国科学院赣江创新研究院建设经费</w:t>
      </w:r>
    </w:p>
    <w:p w14:paraId="0ED53AF0">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依据江西省中科院共建稀土研究院战略合作协议书设立本项目，2023年预算主要用于中国科学院赣江创新研究院建设。</w:t>
      </w:r>
    </w:p>
    <w:p w14:paraId="0BAE8962">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1.绩效目标实现情况</w:t>
      </w:r>
    </w:p>
    <w:p w14:paraId="5A5EFA41">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本项目年度预算12,500万元，1～12月计划支出12,500万元；截止12月19日，实际支出11,25791万元，预算执行率90.06%。</w:t>
      </w:r>
    </w:p>
    <w:p w14:paraId="35917E6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对照批复的绩效目标，主要完成研究生培养、申请专利、企业挂职等工作。其中，招收研究生189名；新申请专利171件（发明专利共166件）；获得专利授权63件；发表文章20篇，且发表文章期刊的影响因子达到1-10；实现科技助农提高大棚产量10%；企业挂职达到29家；人才入职35人，正在持续开展高端人才引进工作，全年绩效目标能够顺利完成。</w:t>
      </w:r>
    </w:p>
    <w:p w14:paraId="70F22B9E">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2.存在的问题和下一步改进措施</w:t>
      </w:r>
    </w:p>
    <w:p w14:paraId="417054B4">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无</w:t>
      </w:r>
    </w:p>
    <w:p w14:paraId="682165D5">
      <w:pPr>
        <w:pStyle w:val="4"/>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32"/>
        <w:textAlignment w:val="auto"/>
        <w:rPr>
          <w:rFonts w:hint="eastAsia" w:ascii="华文宋体" w:hAnsi="华文宋体" w:eastAsia="仿宋_GB2312"/>
          <w:b/>
          <w:bCs w:val="0"/>
          <w:color w:val="auto"/>
          <w:sz w:val="32"/>
          <w:szCs w:val="32"/>
          <w:highlight w:val="none"/>
          <w:lang w:eastAsia="zh-CN"/>
        </w:rPr>
      </w:pP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二十六</w:t>
      </w:r>
      <w:r>
        <w:rPr>
          <w:rFonts w:hint="eastAsia" w:ascii="华文宋体" w:hAnsi="华文宋体" w:eastAsia="仿宋_GB2312"/>
          <w:b/>
          <w:bCs w:val="0"/>
          <w:color w:val="auto"/>
          <w:sz w:val="32"/>
          <w:szCs w:val="32"/>
          <w:highlight w:val="none"/>
        </w:rPr>
        <w:t>）</w:t>
      </w:r>
      <w:r>
        <w:rPr>
          <w:rFonts w:hint="eastAsia" w:ascii="华文宋体" w:hAnsi="华文宋体" w:eastAsia="仿宋_GB2312"/>
          <w:b/>
          <w:bCs w:val="0"/>
          <w:color w:val="auto"/>
          <w:sz w:val="32"/>
          <w:szCs w:val="32"/>
          <w:highlight w:val="none"/>
          <w:lang w:eastAsia="zh-CN"/>
        </w:rPr>
        <w:t>中科院赣江研究院关键核心技术攻关项目</w:t>
      </w:r>
    </w:p>
    <w:p w14:paraId="00591CD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2023年依据任务书及其他相关文件设立本项目，主要用于国家重大科技专项中项目配套资金各方面支出。</w:t>
      </w:r>
    </w:p>
    <w:p w14:paraId="5A56CFD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1.绩效目标实现情况</w:t>
      </w:r>
    </w:p>
    <w:p w14:paraId="32C9A89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本项目年度预算10,800万元，1～12月计划支出10800万元，实际支出2550万元，预算执行率23.61%。对照批复的绩效目标，主要完成了剩磁大于14kGs、矫顽力大于20kOe的高性能晶界扩散基材磁体、初步完成15MW风机电磁方案及电机结构设计等工作；正在开展高性能晶界扩散基材磁体放大试验、15MW蒸发内冷系统电机工艺方案设计等工作其他绩效目标已经顺利完成。</w:t>
      </w:r>
    </w:p>
    <w:p w14:paraId="62C0B3D6">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2.存在的问题和下一步改进措施</w:t>
      </w:r>
    </w:p>
    <w:p w14:paraId="70F02B60">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（1）因15MW以上风力发电机的研制及示范任务进行调整，在2024年5月前完成15MW以上发电机设计方案和研制示范。</w:t>
      </w:r>
    </w:p>
    <w:p w14:paraId="5083ACC0">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（2）赣江院为新建院所，基建和实验平台的建设进度滞后，影响实验平台改造装修进度和设备采购时间，影响整体预算执行率。</w:t>
      </w:r>
    </w:p>
    <w:p w14:paraId="07618770">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olor w:val="auto"/>
          <w:sz w:val="32"/>
          <w:szCs w:val="32"/>
          <w:highlight w:val="none"/>
        </w:rPr>
      </w:pPr>
      <w:r>
        <w:rPr>
          <w:rFonts w:hint="eastAsia" w:ascii="华文宋体" w:hAnsi="华文宋体" w:eastAsia="仿宋_GB2312"/>
          <w:sz w:val="32"/>
          <w:szCs w:val="32"/>
          <w:highlight w:val="none"/>
        </w:rPr>
        <w:t>未来赣江院将探索资源配置机制，强化绩效管理，推进项目支出进度，提高预算执行率。</w:t>
      </w:r>
    </w:p>
    <w:p w14:paraId="165B684F">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bCs w:val="0"/>
          <w:color w:val="auto"/>
          <w:kern w:val="2"/>
          <w:sz w:val="32"/>
          <w:szCs w:val="32"/>
          <w:highlight w:val="none"/>
          <w:lang w:val="en-US" w:eastAsia="zh-CN" w:bidi="ar-SA"/>
        </w:rPr>
      </w:pPr>
      <w:r>
        <w:rPr>
          <w:rFonts w:hint="eastAsia" w:ascii="华文宋体" w:hAnsi="华文宋体" w:eastAsia="仿宋_GB2312" w:cs="Times New Roman"/>
          <w:b/>
          <w:bCs w:val="0"/>
          <w:color w:val="auto"/>
          <w:kern w:val="2"/>
          <w:sz w:val="32"/>
          <w:szCs w:val="32"/>
          <w:highlight w:val="none"/>
          <w:lang w:val="en-US" w:eastAsia="zh-CN" w:bidi="ar-SA"/>
        </w:rPr>
        <w:t>（二十七）科创生态数据应用平台维护经费</w:t>
      </w:r>
    </w:p>
    <w:p w14:paraId="20D64A4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bCs w:val="0"/>
          <w:color w:val="auto"/>
          <w:kern w:val="2"/>
          <w:sz w:val="32"/>
          <w:szCs w:val="32"/>
          <w:highlight w:val="none"/>
          <w:lang w:val="en-US" w:eastAsia="zh-CN" w:bidi="ar-SA"/>
        </w:rPr>
      </w:pPr>
      <w:r>
        <w:rPr>
          <w:rFonts w:hint="eastAsia" w:ascii="华文宋体" w:hAnsi="华文宋体" w:eastAsia="仿宋_GB2312"/>
          <w:sz w:val="32"/>
          <w:szCs w:val="32"/>
          <w:highlight w:val="none"/>
        </w:rPr>
        <w:t>1</w:t>
      </w:r>
      <w:r>
        <w:rPr>
          <w:rFonts w:ascii="华文宋体" w:hAnsi="华文宋体" w:eastAsia="仿宋_GB2312"/>
          <w:sz w:val="32"/>
          <w:szCs w:val="32"/>
          <w:highlight w:val="none"/>
        </w:rPr>
        <w:t>.</w:t>
      </w:r>
      <w:r>
        <w:rPr>
          <w:rFonts w:hint="eastAsia" w:ascii="华文宋体" w:hAnsi="华文宋体" w:eastAsia="仿宋_GB2312"/>
          <w:sz w:val="32"/>
          <w:szCs w:val="32"/>
          <w:highlight w:val="none"/>
        </w:rPr>
        <w:t>绩效目标实现情况</w:t>
      </w:r>
    </w:p>
    <w:p w14:paraId="5F94833E">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val="0"/>
          <w:bCs/>
          <w:color w:val="auto"/>
          <w:kern w:val="2"/>
          <w:sz w:val="32"/>
          <w:szCs w:val="32"/>
          <w:highlight w:val="none"/>
          <w:lang w:val="en-US" w:eastAsia="zh-CN" w:bidi="ar-SA"/>
        </w:rPr>
      </w:pPr>
      <w:r>
        <w:rPr>
          <w:rFonts w:hint="eastAsia" w:ascii="华文宋体" w:hAnsi="华文宋体" w:eastAsia="仿宋_GB2312" w:cs="Times New Roman"/>
          <w:b w:val="0"/>
          <w:bCs/>
          <w:color w:val="auto"/>
          <w:kern w:val="2"/>
          <w:sz w:val="32"/>
          <w:szCs w:val="32"/>
          <w:highlight w:val="none"/>
          <w:lang w:val="en-US" w:eastAsia="zh-CN" w:bidi="ar-SA"/>
        </w:rPr>
        <w:t>2023年赣州科创生态数据应用平台运维项目</w:t>
      </w:r>
    </w:p>
    <w:p w14:paraId="38A98465">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val="0"/>
          <w:bCs/>
          <w:color w:val="auto"/>
          <w:kern w:val="2"/>
          <w:sz w:val="32"/>
          <w:szCs w:val="32"/>
          <w:highlight w:val="none"/>
          <w:lang w:val="en-US" w:eastAsia="zh-CN" w:bidi="ar-SA"/>
        </w:rPr>
      </w:pPr>
      <w:r>
        <w:rPr>
          <w:rFonts w:hint="eastAsia" w:ascii="华文宋体" w:hAnsi="华文宋体" w:eastAsia="仿宋_GB2312" w:cs="Times New Roman"/>
          <w:b w:val="0"/>
          <w:bCs/>
          <w:color w:val="auto"/>
          <w:kern w:val="2"/>
          <w:sz w:val="32"/>
          <w:szCs w:val="32"/>
          <w:highlight w:val="none"/>
          <w:lang w:val="en-US" w:eastAsia="zh-CN" w:bidi="ar-SA"/>
        </w:rPr>
        <w:t>本项目年度预算50万元，1-12月支出49.6万元，主要完成了一下内容:系统开发数量2个；系统扫描4次；服务器部署2台；新增6个功能模块；吞吐量400请求数/秒；系统高危漏洞修复率、扫描覆盖率为100%；新增功能模块测试通过率99%；并发用户数220个；资源使用率75%；系统上线合格率99%；首次可交互时间5秒；运维响应及时率100%；新增功能模块开发完工及时率100%；网络响应时间3秒；监控报警及时率99%；新增上链企业564家；平台使用人员满意度95%。</w:t>
      </w:r>
    </w:p>
    <w:p w14:paraId="2E780A05">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val="0"/>
          <w:bCs/>
          <w:color w:val="auto"/>
          <w:kern w:val="2"/>
          <w:sz w:val="32"/>
          <w:szCs w:val="32"/>
          <w:highlight w:val="none"/>
          <w:lang w:val="en-US" w:eastAsia="zh-CN" w:bidi="ar-SA"/>
        </w:rPr>
      </w:pPr>
      <w:r>
        <w:rPr>
          <w:rFonts w:hint="eastAsia" w:ascii="华文宋体" w:hAnsi="华文宋体" w:eastAsia="仿宋_GB2312" w:cs="Times New Roman"/>
          <w:b w:val="0"/>
          <w:bCs/>
          <w:color w:val="auto"/>
          <w:kern w:val="2"/>
          <w:sz w:val="32"/>
          <w:szCs w:val="32"/>
          <w:highlight w:val="none"/>
          <w:lang w:val="en-US" w:eastAsia="zh-CN" w:bidi="ar-SA"/>
        </w:rPr>
        <w:t>年度绩效指标均已完成</w:t>
      </w:r>
    </w:p>
    <w:p w14:paraId="622AB244">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w:t>
      </w:r>
      <w:r>
        <w:rPr>
          <w:rFonts w:ascii="华文宋体" w:hAnsi="华文宋体" w:eastAsia="仿宋_GB2312"/>
          <w:sz w:val="32"/>
          <w:szCs w:val="32"/>
          <w:highlight w:val="none"/>
        </w:rPr>
        <w:t>.</w:t>
      </w:r>
      <w:r>
        <w:rPr>
          <w:rFonts w:hint="eastAsia" w:ascii="华文宋体" w:hAnsi="华文宋体" w:eastAsia="仿宋_GB2312"/>
          <w:sz w:val="32"/>
          <w:szCs w:val="32"/>
          <w:highlight w:val="none"/>
        </w:rPr>
        <w:t>存在的问题和下一步改进措施</w:t>
      </w:r>
    </w:p>
    <w:p w14:paraId="5265C56F">
      <w:pPr>
        <w:pStyle w:val="2"/>
        <w:keepNext w:val="0"/>
        <w:keepLines w:val="0"/>
        <w:pageBreakBefore w:val="0"/>
        <w:kinsoku/>
        <w:wordWrap/>
        <w:overflowPunct/>
        <w:topLinePunct w:val="0"/>
        <w:autoSpaceDE/>
        <w:autoSpaceDN/>
        <w:bidi w:val="0"/>
        <w:spacing w:line="560" w:lineRule="exact"/>
        <w:rPr>
          <w:rFonts w:hint="eastAsia" w:ascii="华文宋体" w:hAnsi="华文宋体" w:eastAsia="仿宋_GB2312"/>
          <w:highlight w:val="none"/>
          <w:lang w:val="en-US" w:eastAsia="zh-CN"/>
        </w:rPr>
      </w:pPr>
      <w:r>
        <w:rPr>
          <w:rFonts w:hint="eastAsia" w:ascii="华文宋体" w:hAnsi="华文宋体" w:eastAsia="仿宋_GB2312" w:cs="Times New Roman"/>
          <w:color w:val="auto"/>
          <w:kern w:val="2"/>
          <w:sz w:val="32"/>
          <w:szCs w:val="32"/>
          <w:highlight w:val="none"/>
          <w:lang w:val="en-US" w:eastAsia="zh-CN" w:bidi="ar-SA"/>
        </w:rPr>
        <w:t>无</w:t>
      </w:r>
    </w:p>
    <w:p w14:paraId="6E594A87">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b/>
          <w:bCs w:val="0"/>
          <w:color w:val="auto"/>
          <w:kern w:val="2"/>
          <w:sz w:val="32"/>
          <w:szCs w:val="32"/>
          <w:highlight w:val="none"/>
          <w:lang w:val="en-US" w:eastAsia="zh-CN" w:bidi="ar-SA"/>
        </w:rPr>
      </w:pPr>
      <w:r>
        <w:rPr>
          <w:rFonts w:hint="eastAsia" w:ascii="华文宋体" w:hAnsi="华文宋体" w:eastAsia="仿宋_GB2312" w:cs="Times New Roman"/>
          <w:b/>
          <w:bCs w:val="0"/>
          <w:color w:val="auto"/>
          <w:kern w:val="2"/>
          <w:sz w:val="32"/>
          <w:szCs w:val="32"/>
          <w:highlight w:val="none"/>
          <w:lang w:val="en-US" w:eastAsia="zh-CN" w:bidi="ar-SA"/>
        </w:rPr>
        <w:t>（二十八）赣州市创新创业大赛</w:t>
      </w:r>
    </w:p>
    <w:p w14:paraId="73CEDD8B">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sz w:val="32"/>
          <w:szCs w:val="32"/>
          <w:highlight w:val="none"/>
        </w:rPr>
        <w:t>1</w:t>
      </w:r>
      <w:r>
        <w:rPr>
          <w:rFonts w:ascii="华文宋体" w:hAnsi="华文宋体" w:eastAsia="仿宋_GB2312"/>
          <w:sz w:val="32"/>
          <w:szCs w:val="32"/>
          <w:highlight w:val="none"/>
        </w:rPr>
        <w:t>.</w:t>
      </w:r>
      <w:r>
        <w:rPr>
          <w:rFonts w:hint="eastAsia" w:ascii="华文宋体" w:hAnsi="华文宋体" w:eastAsia="仿宋_GB2312"/>
          <w:sz w:val="32"/>
          <w:szCs w:val="32"/>
          <w:highlight w:val="none"/>
        </w:rPr>
        <w:t>绩效目标实现情况</w:t>
      </w:r>
    </w:p>
    <w:p w14:paraId="025903E6">
      <w:pPr>
        <w:pStyle w:val="19"/>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启动仪式23万、行业初赛7万、半决赛和项目辅导会10万、行业决赛105万、宣传设计16万，除行业决赛预算未完成，其余都完成。其中产出指标完成情况如下，组织2场创新创业大赛；征集参赛优质项目60项；走访企业96家；组织创新创业大赛达标率85%；组织创新创业大赛举办及时率100%；达成一项意向合作协议；宣传赛事媒体13家；参赛企业数量143家；参赛人员满意度95%。</w:t>
      </w:r>
    </w:p>
    <w:p w14:paraId="63186AEA">
      <w:pPr>
        <w:pStyle w:val="19"/>
        <w:keepNext w:val="0"/>
        <w:keepLines w:val="0"/>
        <w:pageBreakBefore w:val="0"/>
        <w:kinsoku/>
        <w:wordWrap/>
        <w:overflowPunct/>
        <w:topLinePunct w:val="0"/>
        <w:autoSpaceDE/>
        <w:autoSpaceDN/>
        <w:bidi w:val="0"/>
        <w:spacing w:line="560" w:lineRule="exact"/>
        <w:rPr>
          <w:rFonts w:hint="eastAsia"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其中行业决赛、意向合作或转化、组织创新创业大赛达标率未达标主要原因为赛事还未结束，决赛正在筹备中。</w:t>
      </w:r>
    </w:p>
    <w:p w14:paraId="4B9C8A57">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rPr>
        <w:t>2</w:t>
      </w:r>
      <w:r>
        <w:rPr>
          <w:rFonts w:ascii="华文宋体" w:hAnsi="华文宋体" w:eastAsia="仿宋_GB2312"/>
          <w:sz w:val="32"/>
          <w:szCs w:val="32"/>
          <w:highlight w:val="none"/>
        </w:rPr>
        <w:t>.</w:t>
      </w:r>
      <w:r>
        <w:rPr>
          <w:rFonts w:hint="eastAsia" w:ascii="华文宋体" w:hAnsi="华文宋体" w:eastAsia="仿宋_GB2312"/>
          <w:sz w:val="32"/>
          <w:szCs w:val="32"/>
          <w:highlight w:val="none"/>
        </w:rPr>
        <w:t>存在的问题和下一步改进措施</w:t>
      </w:r>
    </w:p>
    <w:p w14:paraId="09A3C0D4">
      <w:pPr>
        <w:pStyle w:val="2"/>
        <w:keepNext w:val="0"/>
        <w:keepLines w:val="0"/>
        <w:pageBreakBefore w:val="0"/>
        <w:kinsoku/>
        <w:wordWrap/>
        <w:overflowPunct/>
        <w:topLinePunct w:val="0"/>
        <w:autoSpaceDE/>
        <w:autoSpaceDN/>
        <w:bidi w:val="0"/>
        <w:spacing w:line="560" w:lineRule="exact"/>
        <w:ind w:firstLine="632" w:firstLineChars="200"/>
        <w:rPr>
          <w:rFonts w:hint="default" w:ascii="华文宋体" w:hAnsi="华文宋体" w:eastAsia="仿宋_GB2312" w:cs="Times New Roman"/>
          <w:color w:val="auto"/>
          <w:kern w:val="2"/>
          <w:sz w:val="32"/>
          <w:szCs w:val="32"/>
          <w:highlight w:val="none"/>
          <w:lang w:val="en-US" w:eastAsia="zh-CN" w:bidi="ar-SA"/>
        </w:rPr>
      </w:pPr>
      <w:r>
        <w:rPr>
          <w:rFonts w:hint="eastAsia" w:ascii="华文宋体" w:hAnsi="华文宋体" w:eastAsia="仿宋_GB2312" w:cs="Times New Roman"/>
          <w:color w:val="auto"/>
          <w:kern w:val="2"/>
          <w:sz w:val="32"/>
          <w:szCs w:val="32"/>
          <w:highlight w:val="none"/>
          <w:lang w:val="en-US" w:eastAsia="zh-CN" w:bidi="ar-SA"/>
        </w:rPr>
        <w:t>无</w:t>
      </w:r>
    </w:p>
    <w:p w14:paraId="1DF030D7">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b/>
          <w:bCs/>
          <w:sz w:val="32"/>
          <w:szCs w:val="32"/>
          <w:highlight w:val="none"/>
        </w:rPr>
      </w:pPr>
      <w:r>
        <w:rPr>
          <w:rFonts w:hint="eastAsia" w:ascii="华文宋体" w:hAnsi="华文宋体" w:eastAsia="仿宋_GB2312" w:cs="Times New Roman"/>
          <w:b/>
          <w:bCs w:val="0"/>
          <w:color w:val="auto"/>
          <w:kern w:val="2"/>
          <w:sz w:val="32"/>
          <w:szCs w:val="32"/>
          <w:highlight w:val="none"/>
          <w:lang w:val="en-US" w:eastAsia="zh-CN" w:bidi="ar-SA"/>
        </w:rPr>
        <w:t>（二十九）</w:t>
      </w:r>
      <w:r>
        <w:rPr>
          <w:rFonts w:ascii="华文宋体" w:hAnsi="华文宋体" w:eastAsia="仿宋_GB2312" w:cs="宋体"/>
          <w:b/>
          <w:bCs/>
          <w:sz w:val="32"/>
          <w:szCs w:val="32"/>
          <w:highlight w:val="none"/>
        </w:rPr>
        <w:t>招商引资工作</w:t>
      </w:r>
      <w:r>
        <w:rPr>
          <w:rFonts w:hint="eastAsia" w:ascii="华文宋体" w:hAnsi="华文宋体" w:eastAsia="仿宋_GB2312" w:cs="宋体"/>
          <w:b/>
          <w:bCs/>
          <w:sz w:val="32"/>
          <w:szCs w:val="32"/>
          <w:highlight w:val="none"/>
        </w:rPr>
        <w:t>（2023年第一批）</w:t>
      </w:r>
    </w:p>
    <w:p w14:paraId="4581CF31">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2023年依据招商引资工作安排设立本项目，主要用于</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工作。</w:t>
      </w:r>
    </w:p>
    <w:p w14:paraId="235172B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1.绩效目标实现情况</w:t>
      </w:r>
    </w:p>
    <w:p w14:paraId="3AA9BDC0">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本项目年度预算10万元，1～12月计划支出10万元，实际支出1万元，预算执行率1</w:t>
      </w:r>
      <w:r>
        <w:rPr>
          <w:rFonts w:hint="eastAsia" w:ascii="华文宋体" w:hAnsi="华文宋体" w:eastAsia="仿宋_GB2312" w:cs="宋体"/>
          <w:sz w:val="32"/>
          <w:szCs w:val="32"/>
          <w:highlight w:val="none"/>
          <w:lang w:val="en-US" w:eastAsia="zh-CN"/>
        </w:rPr>
        <w:t>0</w:t>
      </w:r>
      <w:r>
        <w:rPr>
          <w:rFonts w:hint="eastAsia" w:ascii="华文宋体" w:hAnsi="华文宋体" w:eastAsia="仿宋_GB2312" w:cs="宋体"/>
          <w:sz w:val="32"/>
          <w:szCs w:val="32"/>
          <w:highlight w:val="none"/>
        </w:rPr>
        <w:t>%。因财政指标下达较晚,资金使用较滞后.对照批复的绩效目标，主要完成外出招商、接待来赣客商等工作，已签约项目2项，签约金额4亿元，实际进资4000万以上；正在开展外出招商、接待来赣客商等工作，2023年已完成年度</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任务。</w:t>
      </w:r>
    </w:p>
    <w:p w14:paraId="6DA482E9">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sz w:val="32"/>
          <w:szCs w:val="32"/>
          <w:highlight w:val="none"/>
        </w:rPr>
      </w:pPr>
      <w:r>
        <w:rPr>
          <w:rFonts w:hint="eastAsia" w:ascii="华文宋体" w:hAnsi="华文宋体" w:eastAsia="仿宋_GB2312"/>
          <w:sz w:val="32"/>
          <w:szCs w:val="32"/>
          <w:highlight w:val="none"/>
          <w:lang w:val="en-US" w:eastAsia="zh-CN"/>
        </w:rPr>
        <w:t>2.</w:t>
      </w:r>
      <w:r>
        <w:rPr>
          <w:rFonts w:hint="eastAsia" w:ascii="华文宋体" w:hAnsi="华文宋体" w:eastAsia="仿宋_GB2312"/>
          <w:sz w:val="32"/>
          <w:szCs w:val="32"/>
          <w:highlight w:val="none"/>
        </w:rPr>
        <w:t>存在的问题和下一步改进措施</w:t>
      </w:r>
    </w:p>
    <w:p w14:paraId="575A4D46">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钨与稀土领域招商难度巨大，会持续加大</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力度。</w:t>
      </w:r>
    </w:p>
    <w:p w14:paraId="31CF4326">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b/>
          <w:bCs/>
          <w:sz w:val="32"/>
          <w:szCs w:val="32"/>
          <w:highlight w:val="none"/>
        </w:rPr>
      </w:pPr>
      <w:r>
        <w:rPr>
          <w:rFonts w:hint="eastAsia" w:ascii="华文宋体" w:hAnsi="华文宋体" w:eastAsia="仿宋_GB2312" w:cs="宋体"/>
          <w:b/>
          <w:bCs/>
          <w:sz w:val="32"/>
          <w:szCs w:val="32"/>
          <w:highlight w:val="none"/>
          <w:lang w:eastAsia="zh-CN"/>
        </w:rPr>
        <w:t>（三十）</w:t>
      </w:r>
      <w:r>
        <w:rPr>
          <w:rFonts w:ascii="华文宋体" w:hAnsi="华文宋体" w:eastAsia="仿宋_GB2312" w:cs="宋体"/>
          <w:b/>
          <w:bCs/>
          <w:sz w:val="32"/>
          <w:szCs w:val="32"/>
          <w:highlight w:val="none"/>
        </w:rPr>
        <w:t>招商小分队工作经费</w:t>
      </w:r>
      <w:r>
        <w:rPr>
          <w:rFonts w:hint="eastAsia" w:ascii="华文宋体" w:hAnsi="华文宋体" w:eastAsia="仿宋_GB2312" w:cs="宋体"/>
          <w:b/>
          <w:bCs/>
          <w:sz w:val="32"/>
          <w:szCs w:val="32"/>
          <w:highlight w:val="none"/>
        </w:rPr>
        <w:t>（2023年第二批）</w:t>
      </w:r>
    </w:p>
    <w:p w14:paraId="7479B609">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2023年依据招商引资工作安排设立本项目，主要用于</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工作。</w:t>
      </w:r>
    </w:p>
    <w:p w14:paraId="21D00FDE">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1.绩效目标实现情况</w:t>
      </w:r>
    </w:p>
    <w:p w14:paraId="201CBF9F">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本项目年度预算15万元，1～12月计划支出10万元，实际支出10万元，预算执行率100%。因财政预算批复15万元,实际下达指标10万元.对照批复的绩效目标，主要完成外出招商、接待来赣客商等工作，已签约项目2项，签约金额4亿元，实际进资4000万以上；正在开展外出招商、接待来赣客商等工作，2023年已完成年度</w:t>
      </w:r>
      <w:r>
        <w:rPr>
          <w:rFonts w:hint="eastAsia" w:ascii="华文宋体" w:hAnsi="华文宋体" w:eastAsia="仿宋_GB2312" w:cs="宋体"/>
          <w:sz w:val="32"/>
          <w:szCs w:val="32"/>
          <w:highlight w:val="none"/>
          <w:lang w:eastAsia="zh-CN"/>
        </w:rPr>
        <w:t>“双招双引”</w:t>
      </w:r>
      <w:r>
        <w:rPr>
          <w:rFonts w:hint="eastAsia" w:ascii="华文宋体" w:hAnsi="华文宋体" w:eastAsia="仿宋_GB2312" w:cs="宋体"/>
          <w:sz w:val="32"/>
          <w:szCs w:val="32"/>
          <w:highlight w:val="none"/>
        </w:rPr>
        <w:t>任务。</w:t>
      </w:r>
    </w:p>
    <w:p w14:paraId="461CC5C4">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华文宋体" w:hAnsi="华文宋体" w:eastAsia="仿宋_GB2312" w:cs="宋体"/>
          <w:sz w:val="32"/>
          <w:szCs w:val="32"/>
          <w:highlight w:val="none"/>
        </w:rPr>
      </w:pPr>
      <w:r>
        <w:rPr>
          <w:rFonts w:hint="eastAsia" w:ascii="华文宋体" w:hAnsi="华文宋体" w:eastAsia="仿宋_GB2312" w:cs="宋体"/>
          <w:sz w:val="32"/>
          <w:szCs w:val="32"/>
          <w:highlight w:val="none"/>
        </w:rPr>
        <w:t>2.</w:t>
      </w:r>
      <w:r>
        <w:rPr>
          <w:rFonts w:hint="eastAsia" w:ascii="华文宋体" w:hAnsi="华文宋体" w:eastAsia="仿宋_GB2312"/>
          <w:sz w:val="32"/>
          <w:szCs w:val="32"/>
          <w:highlight w:val="none"/>
        </w:rPr>
        <w:t>存在的问题和下一步改进措施</w:t>
      </w:r>
    </w:p>
    <w:p w14:paraId="2944DEEC">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ascii="华文宋体" w:hAnsi="华文宋体" w:eastAsia="仿宋_GB2312" w:cs="宋体"/>
          <w:sz w:val="32"/>
          <w:szCs w:val="32"/>
          <w:highlight w:val="none"/>
        </w:rPr>
      </w:pPr>
      <w:r>
        <w:rPr>
          <w:rFonts w:hint="eastAsia" w:ascii="华文宋体" w:hAnsi="华文宋体" w:eastAsia="仿宋_GB2312" w:cs="宋体"/>
          <w:sz w:val="32"/>
          <w:szCs w:val="32"/>
          <w:highlight w:val="none"/>
        </w:rPr>
        <w:t>钨与稀土领域招商难度巨大，会持续加大</w:t>
      </w:r>
      <w:r>
        <w:rPr>
          <w:rFonts w:hint="eastAsia" w:ascii="华文宋体" w:hAnsi="华文宋体" w:eastAsia="仿宋_GB2312" w:cs="宋体"/>
          <w:sz w:val="32"/>
          <w:szCs w:val="32"/>
          <w:highlight w:val="none"/>
          <w:lang w:eastAsia="zh-CN"/>
        </w:rPr>
        <w:t>“双招</w:t>
      </w:r>
      <w:bookmarkStart w:id="0" w:name="_GoBack"/>
      <w:r>
        <w:rPr>
          <w:rFonts w:hint="eastAsia" w:ascii="华文宋体" w:hAnsi="华文宋体" w:eastAsia="仿宋_GB2312" w:cs="宋体"/>
          <w:sz w:val="32"/>
          <w:szCs w:val="32"/>
          <w:highlight w:val="none"/>
          <w:lang w:eastAsia="zh-CN"/>
        </w:rPr>
        <w:t>双</w:t>
      </w:r>
      <w:bookmarkEnd w:id="0"/>
      <w:r>
        <w:rPr>
          <w:rFonts w:hint="eastAsia" w:ascii="华文宋体" w:hAnsi="华文宋体" w:eastAsia="仿宋_GB2312" w:cs="宋体"/>
          <w:sz w:val="32"/>
          <w:szCs w:val="32"/>
          <w:highlight w:val="none"/>
          <w:lang w:eastAsia="zh-CN"/>
        </w:rPr>
        <w:t>引”</w:t>
      </w:r>
      <w:r>
        <w:rPr>
          <w:rFonts w:hint="eastAsia" w:ascii="华文宋体" w:hAnsi="华文宋体" w:eastAsia="仿宋_GB2312" w:cs="宋体"/>
          <w:sz w:val="32"/>
          <w:szCs w:val="32"/>
          <w:highlight w:val="none"/>
        </w:rPr>
        <w:t>力度。</w:t>
      </w:r>
    </w:p>
    <w:p w14:paraId="46D8CFDE">
      <w:pPr>
        <w:pStyle w:val="5"/>
        <w:keepNext w:val="0"/>
        <w:keepLines w:val="0"/>
        <w:pageBreakBefore w:val="0"/>
        <w:kinsoku/>
        <w:wordWrap/>
        <w:overflowPunct/>
        <w:topLinePunct w:val="0"/>
        <w:autoSpaceDE/>
        <w:autoSpaceDN/>
        <w:bidi w:val="0"/>
        <w:adjustRightInd/>
        <w:snapToGrid/>
        <w:spacing w:after="0" w:line="560" w:lineRule="exact"/>
        <w:textAlignment w:val="auto"/>
        <w:rPr>
          <w:rFonts w:hint="eastAsia" w:ascii="华文宋体" w:hAnsi="华文宋体" w:eastAsia="仿宋_GB2312"/>
          <w:sz w:val="32"/>
          <w:szCs w:val="32"/>
          <w:lang w:eastAsia="zh-CN"/>
        </w:rPr>
      </w:pPr>
    </w:p>
    <w:p w14:paraId="5DD6DD71">
      <w:pPr>
        <w:keepNext w:val="0"/>
        <w:keepLines w:val="0"/>
        <w:pageBreakBefore w:val="0"/>
        <w:widowControl/>
        <w:kinsoku/>
        <w:wordWrap/>
        <w:overflowPunct/>
        <w:topLinePunct w:val="0"/>
        <w:autoSpaceDE/>
        <w:autoSpaceDN/>
        <w:bidi w:val="0"/>
        <w:adjustRightInd/>
        <w:snapToGrid/>
        <w:spacing w:line="560" w:lineRule="exact"/>
        <w:ind w:left="0" w:leftChars="0" w:right="0" w:rightChars="0"/>
        <w:textAlignment w:val="auto"/>
        <w:rPr>
          <w:rFonts w:ascii="华文宋体" w:hAnsi="华文宋体" w:eastAsia="仿宋_GB2312"/>
          <w:sz w:val="32"/>
          <w:szCs w:val="32"/>
        </w:rPr>
      </w:pPr>
    </w:p>
    <w:p w14:paraId="59527B2E">
      <w:pPr>
        <w:keepNext w:val="0"/>
        <w:keepLines w:val="0"/>
        <w:pageBreakBefore w:val="0"/>
        <w:widowControl/>
        <w:kinsoku/>
        <w:wordWrap/>
        <w:overflowPunct/>
        <w:topLinePunct w:val="0"/>
        <w:autoSpaceDE/>
        <w:autoSpaceDN/>
        <w:bidi w:val="0"/>
        <w:adjustRightInd/>
        <w:snapToGrid/>
        <w:spacing w:line="560" w:lineRule="exact"/>
        <w:ind w:left="0" w:leftChars="0" w:right="0" w:rightChars="0"/>
        <w:textAlignment w:val="auto"/>
        <w:rPr>
          <w:rFonts w:ascii="华文宋体" w:hAnsi="华文宋体" w:eastAsia="仿宋_GB2312"/>
          <w:sz w:val="32"/>
          <w:szCs w:val="32"/>
        </w:rPr>
      </w:pPr>
    </w:p>
    <w:p w14:paraId="4B6C6D35">
      <w:pPr>
        <w:keepNext w:val="0"/>
        <w:keepLines w:val="0"/>
        <w:pageBreakBefore w:val="0"/>
        <w:widowControl/>
        <w:kinsoku/>
        <w:wordWrap/>
        <w:overflowPunct/>
        <w:topLinePunct w:val="0"/>
        <w:autoSpaceDE/>
        <w:autoSpaceDN/>
        <w:bidi w:val="0"/>
        <w:adjustRightInd/>
        <w:snapToGrid/>
        <w:spacing w:line="560" w:lineRule="exact"/>
        <w:ind w:left="0" w:leftChars="0" w:right="0" w:rightChars="0"/>
        <w:textAlignment w:val="auto"/>
        <w:rPr>
          <w:rFonts w:hint="eastAsia" w:ascii="华文宋体" w:hAnsi="华文宋体" w:eastAsia="仿宋_GB2312"/>
          <w:sz w:val="32"/>
          <w:szCs w:val="32"/>
        </w:rPr>
      </w:pPr>
    </w:p>
    <w:p w14:paraId="12059F1A">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5147" w:firstLineChars="1629"/>
        <w:jc w:val="left"/>
        <w:textAlignment w:val="auto"/>
        <w:rPr>
          <w:rFonts w:hint="eastAsia" w:ascii="华文宋体" w:hAnsi="华文宋体" w:eastAsia="仿宋_GB2312"/>
          <w:sz w:val="32"/>
          <w:szCs w:val="32"/>
          <w:lang w:eastAsia="zh-CN"/>
        </w:rPr>
      </w:pPr>
      <w:r>
        <w:rPr>
          <w:rFonts w:hint="eastAsia" w:ascii="华文宋体" w:hAnsi="华文宋体" w:eastAsia="仿宋_GB2312"/>
          <w:sz w:val="32"/>
          <w:szCs w:val="32"/>
          <w:lang w:eastAsia="zh-CN"/>
        </w:rPr>
        <w:t>赣州市科技局</w:t>
      </w:r>
    </w:p>
    <w:p w14:paraId="716EFADD">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5056" w:firstLineChars="1600"/>
        <w:jc w:val="left"/>
        <w:textAlignment w:val="auto"/>
        <w:rPr>
          <w:rFonts w:hint="eastAsia" w:ascii="华文宋体" w:hAnsi="华文宋体" w:eastAsia="仿宋_GB2312"/>
          <w:sz w:val="32"/>
          <w:szCs w:val="32"/>
        </w:rPr>
      </w:pPr>
      <w:r>
        <w:rPr>
          <w:rFonts w:hint="eastAsia" w:ascii="华文宋体" w:hAnsi="华文宋体" w:eastAsia="仿宋_GB2312"/>
          <w:sz w:val="32"/>
          <w:szCs w:val="32"/>
          <w:lang w:val="en-US" w:eastAsia="zh-CN"/>
        </w:rPr>
        <w:t>2024</w:t>
      </w:r>
      <w:r>
        <w:rPr>
          <w:rFonts w:hint="eastAsia" w:ascii="华文宋体" w:hAnsi="华文宋体" w:eastAsia="仿宋_GB2312"/>
          <w:sz w:val="32"/>
          <w:szCs w:val="32"/>
        </w:rPr>
        <w:t>年</w:t>
      </w:r>
      <w:r>
        <w:rPr>
          <w:rFonts w:hint="eastAsia" w:ascii="华文宋体" w:hAnsi="华文宋体" w:eastAsia="仿宋_GB2312"/>
          <w:sz w:val="32"/>
          <w:szCs w:val="32"/>
          <w:lang w:val="en-US" w:eastAsia="zh-CN"/>
        </w:rPr>
        <w:t>5</w:t>
      </w:r>
      <w:r>
        <w:rPr>
          <w:rFonts w:hint="eastAsia" w:ascii="华文宋体" w:hAnsi="华文宋体" w:eastAsia="仿宋_GB2312"/>
          <w:sz w:val="32"/>
          <w:szCs w:val="32"/>
        </w:rPr>
        <w:t>月</w:t>
      </w:r>
      <w:r>
        <w:rPr>
          <w:rFonts w:hint="eastAsia" w:ascii="华文宋体" w:hAnsi="华文宋体" w:eastAsia="仿宋_GB2312"/>
          <w:sz w:val="32"/>
          <w:szCs w:val="32"/>
          <w:lang w:val="en-US" w:eastAsia="zh-CN"/>
        </w:rPr>
        <w:t>14</w:t>
      </w:r>
      <w:r>
        <w:rPr>
          <w:rFonts w:hint="eastAsia" w:ascii="华文宋体" w:hAnsi="华文宋体" w:eastAsia="仿宋_GB2312"/>
          <w:sz w:val="32"/>
          <w:szCs w:val="32"/>
        </w:rPr>
        <w:t>日</w:t>
      </w:r>
    </w:p>
    <w:sectPr>
      <w:headerReference r:id="rId5" w:type="first"/>
      <w:footerReference r:id="rId6" w:type="first"/>
      <w:pgSz w:w="11906" w:h="16838"/>
      <w:pgMar w:top="2098" w:right="1474" w:bottom="1985" w:left="1588" w:header="851" w:footer="1588" w:gutter="0"/>
      <w:cols w:space="720"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宋体">
    <w:altName w:val="宋体"/>
    <w:panose1 w:val="02010600040101010101"/>
    <w:charset w:val="86"/>
    <w:family w:val="auto"/>
    <w:pitch w:val="default"/>
    <w:sig w:usb0="00000287" w:usb1="080F0000" w:usb2="00000000" w:usb3="00000000" w:csb0="0004009F" w:csb1="DFD70000"/>
  </w:font>
  <w:font w:name="华文仿宋">
    <w:altName w:val="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3789F">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EB8CF">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mirrorMargins w:val="1"/>
  <w:bordersDoNotSurroundHeader w:val="0"/>
  <w:bordersDoNotSurroundFooter w:val="0"/>
  <w:documentProtection w:enforcement="0"/>
  <w:defaultTabStop w:val="420"/>
  <w:hyphenationZone w:val="360"/>
  <w:evenAndOddHeaders w:val="1"/>
  <w:drawingGridHorizontalSpacing w:val="158"/>
  <w:drawingGridVerticalSpacing w:val="57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N2ZhZDg3OGUwYjFhZDkzYjI3MjhmNTU2NjdkZTcifQ=="/>
  </w:docVars>
  <w:rsids>
    <w:rsidRoot w:val="003E7063"/>
    <w:rsid w:val="00000911"/>
    <w:rsid w:val="00003D6F"/>
    <w:rsid w:val="000139E0"/>
    <w:rsid w:val="0002039C"/>
    <w:rsid w:val="000215E0"/>
    <w:rsid w:val="000235B2"/>
    <w:rsid w:val="00023B44"/>
    <w:rsid w:val="00030295"/>
    <w:rsid w:val="00033520"/>
    <w:rsid w:val="0003384E"/>
    <w:rsid w:val="00035107"/>
    <w:rsid w:val="00037418"/>
    <w:rsid w:val="00037923"/>
    <w:rsid w:val="000413FA"/>
    <w:rsid w:val="00044A6B"/>
    <w:rsid w:val="000459C4"/>
    <w:rsid w:val="00046567"/>
    <w:rsid w:val="000502D2"/>
    <w:rsid w:val="0005231C"/>
    <w:rsid w:val="00057CE5"/>
    <w:rsid w:val="00060ADF"/>
    <w:rsid w:val="00062ACE"/>
    <w:rsid w:val="0006437F"/>
    <w:rsid w:val="00065B79"/>
    <w:rsid w:val="00080D78"/>
    <w:rsid w:val="00086181"/>
    <w:rsid w:val="00087DA9"/>
    <w:rsid w:val="0009718A"/>
    <w:rsid w:val="000A42D8"/>
    <w:rsid w:val="000A7DD4"/>
    <w:rsid w:val="000B471D"/>
    <w:rsid w:val="000B7014"/>
    <w:rsid w:val="000C2E21"/>
    <w:rsid w:val="000C30BC"/>
    <w:rsid w:val="000D4F61"/>
    <w:rsid w:val="000D7B95"/>
    <w:rsid w:val="000E419C"/>
    <w:rsid w:val="000E45E5"/>
    <w:rsid w:val="00102E83"/>
    <w:rsid w:val="00107AE1"/>
    <w:rsid w:val="00110171"/>
    <w:rsid w:val="00116668"/>
    <w:rsid w:val="0011715A"/>
    <w:rsid w:val="00117743"/>
    <w:rsid w:val="00122994"/>
    <w:rsid w:val="00127F54"/>
    <w:rsid w:val="00132641"/>
    <w:rsid w:val="001336D5"/>
    <w:rsid w:val="00136E94"/>
    <w:rsid w:val="001409BF"/>
    <w:rsid w:val="00144BC7"/>
    <w:rsid w:val="00145116"/>
    <w:rsid w:val="001463C8"/>
    <w:rsid w:val="00146C12"/>
    <w:rsid w:val="00154B74"/>
    <w:rsid w:val="00156A44"/>
    <w:rsid w:val="00156F6D"/>
    <w:rsid w:val="0016195B"/>
    <w:rsid w:val="00166AF5"/>
    <w:rsid w:val="00167185"/>
    <w:rsid w:val="00170784"/>
    <w:rsid w:val="00172640"/>
    <w:rsid w:val="00176548"/>
    <w:rsid w:val="001966A8"/>
    <w:rsid w:val="001A0704"/>
    <w:rsid w:val="001A15FC"/>
    <w:rsid w:val="001A2793"/>
    <w:rsid w:val="001B3E3A"/>
    <w:rsid w:val="001C151A"/>
    <w:rsid w:val="001C3261"/>
    <w:rsid w:val="001C4C68"/>
    <w:rsid w:val="001C6B11"/>
    <w:rsid w:val="001D271C"/>
    <w:rsid w:val="001D71EC"/>
    <w:rsid w:val="001E4593"/>
    <w:rsid w:val="001E64E0"/>
    <w:rsid w:val="0020359A"/>
    <w:rsid w:val="00205CD3"/>
    <w:rsid w:val="0020673F"/>
    <w:rsid w:val="00213603"/>
    <w:rsid w:val="002231D0"/>
    <w:rsid w:val="002247DC"/>
    <w:rsid w:val="00227BD5"/>
    <w:rsid w:val="002319E6"/>
    <w:rsid w:val="00231DC0"/>
    <w:rsid w:val="00235841"/>
    <w:rsid w:val="00240314"/>
    <w:rsid w:val="0024045E"/>
    <w:rsid w:val="00242488"/>
    <w:rsid w:val="002510EA"/>
    <w:rsid w:val="00251592"/>
    <w:rsid w:val="00254A7B"/>
    <w:rsid w:val="00254AA5"/>
    <w:rsid w:val="00256AE6"/>
    <w:rsid w:val="00265309"/>
    <w:rsid w:val="00267EF1"/>
    <w:rsid w:val="00270B64"/>
    <w:rsid w:val="00272548"/>
    <w:rsid w:val="00284741"/>
    <w:rsid w:val="0029672F"/>
    <w:rsid w:val="002B1A95"/>
    <w:rsid w:val="002B42B3"/>
    <w:rsid w:val="002B608B"/>
    <w:rsid w:val="002B7AD1"/>
    <w:rsid w:val="002C3BD1"/>
    <w:rsid w:val="002C40C3"/>
    <w:rsid w:val="002C605C"/>
    <w:rsid w:val="002D364F"/>
    <w:rsid w:val="002D5D5B"/>
    <w:rsid w:val="002D7FB5"/>
    <w:rsid w:val="002F016E"/>
    <w:rsid w:val="002F0628"/>
    <w:rsid w:val="002F11A0"/>
    <w:rsid w:val="002F3B04"/>
    <w:rsid w:val="002F754B"/>
    <w:rsid w:val="0031537D"/>
    <w:rsid w:val="003212FD"/>
    <w:rsid w:val="00321CF2"/>
    <w:rsid w:val="003224C5"/>
    <w:rsid w:val="00323960"/>
    <w:rsid w:val="003308D8"/>
    <w:rsid w:val="003355E3"/>
    <w:rsid w:val="003362EA"/>
    <w:rsid w:val="003370B6"/>
    <w:rsid w:val="003372B4"/>
    <w:rsid w:val="0034160C"/>
    <w:rsid w:val="003418C7"/>
    <w:rsid w:val="0034303F"/>
    <w:rsid w:val="0034347F"/>
    <w:rsid w:val="00343638"/>
    <w:rsid w:val="00344262"/>
    <w:rsid w:val="00345FA6"/>
    <w:rsid w:val="00347742"/>
    <w:rsid w:val="003500A9"/>
    <w:rsid w:val="00364282"/>
    <w:rsid w:val="003644D3"/>
    <w:rsid w:val="00367299"/>
    <w:rsid w:val="003676D3"/>
    <w:rsid w:val="00370863"/>
    <w:rsid w:val="00371DF5"/>
    <w:rsid w:val="00380E34"/>
    <w:rsid w:val="00384D8B"/>
    <w:rsid w:val="003A08CD"/>
    <w:rsid w:val="003A17FE"/>
    <w:rsid w:val="003A3EB2"/>
    <w:rsid w:val="003A4C00"/>
    <w:rsid w:val="003A4F8E"/>
    <w:rsid w:val="003A712D"/>
    <w:rsid w:val="003A7441"/>
    <w:rsid w:val="003B191E"/>
    <w:rsid w:val="003B5A34"/>
    <w:rsid w:val="003B6A70"/>
    <w:rsid w:val="003D02B2"/>
    <w:rsid w:val="003D0C38"/>
    <w:rsid w:val="003D280D"/>
    <w:rsid w:val="003D3CD1"/>
    <w:rsid w:val="003E46A4"/>
    <w:rsid w:val="003E7063"/>
    <w:rsid w:val="003F40F0"/>
    <w:rsid w:val="00400DF8"/>
    <w:rsid w:val="004033C5"/>
    <w:rsid w:val="00407772"/>
    <w:rsid w:val="004120F1"/>
    <w:rsid w:val="00412113"/>
    <w:rsid w:val="00412BB3"/>
    <w:rsid w:val="00413FFE"/>
    <w:rsid w:val="00414048"/>
    <w:rsid w:val="00414A8E"/>
    <w:rsid w:val="004202C8"/>
    <w:rsid w:val="00421DB3"/>
    <w:rsid w:val="004225F4"/>
    <w:rsid w:val="00422A83"/>
    <w:rsid w:val="004235C6"/>
    <w:rsid w:val="00425F70"/>
    <w:rsid w:val="004267D7"/>
    <w:rsid w:val="00427E27"/>
    <w:rsid w:val="004302C6"/>
    <w:rsid w:val="00434E04"/>
    <w:rsid w:val="004422A6"/>
    <w:rsid w:val="004426EA"/>
    <w:rsid w:val="0044459B"/>
    <w:rsid w:val="00444825"/>
    <w:rsid w:val="004457D3"/>
    <w:rsid w:val="0045298A"/>
    <w:rsid w:val="00454399"/>
    <w:rsid w:val="00454AE2"/>
    <w:rsid w:val="00456B89"/>
    <w:rsid w:val="00456EA6"/>
    <w:rsid w:val="00460465"/>
    <w:rsid w:val="004633B7"/>
    <w:rsid w:val="0046354F"/>
    <w:rsid w:val="00463742"/>
    <w:rsid w:val="004647AA"/>
    <w:rsid w:val="0047083B"/>
    <w:rsid w:val="00482848"/>
    <w:rsid w:val="00484A03"/>
    <w:rsid w:val="00490F59"/>
    <w:rsid w:val="004A127C"/>
    <w:rsid w:val="004A32A3"/>
    <w:rsid w:val="004A4423"/>
    <w:rsid w:val="004A4D69"/>
    <w:rsid w:val="004A5D33"/>
    <w:rsid w:val="004A6EEE"/>
    <w:rsid w:val="004A6F33"/>
    <w:rsid w:val="004B6268"/>
    <w:rsid w:val="004B6914"/>
    <w:rsid w:val="004B6B52"/>
    <w:rsid w:val="004C10AE"/>
    <w:rsid w:val="004C36BA"/>
    <w:rsid w:val="004E1303"/>
    <w:rsid w:val="004E5705"/>
    <w:rsid w:val="004E5DA0"/>
    <w:rsid w:val="004E6F09"/>
    <w:rsid w:val="004F0BCD"/>
    <w:rsid w:val="004F1C4D"/>
    <w:rsid w:val="004F508F"/>
    <w:rsid w:val="004F58D6"/>
    <w:rsid w:val="004F5F15"/>
    <w:rsid w:val="00502D80"/>
    <w:rsid w:val="00503AFB"/>
    <w:rsid w:val="00503F99"/>
    <w:rsid w:val="00504D33"/>
    <w:rsid w:val="00505D72"/>
    <w:rsid w:val="00506A0C"/>
    <w:rsid w:val="00512C54"/>
    <w:rsid w:val="00513161"/>
    <w:rsid w:val="00515E78"/>
    <w:rsid w:val="00516F3A"/>
    <w:rsid w:val="00520D6D"/>
    <w:rsid w:val="00521468"/>
    <w:rsid w:val="0052182C"/>
    <w:rsid w:val="005249FA"/>
    <w:rsid w:val="00532E23"/>
    <w:rsid w:val="0054245B"/>
    <w:rsid w:val="00544952"/>
    <w:rsid w:val="005505AC"/>
    <w:rsid w:val="00550737"/>
    <w:rsid w:val="00550DF2"/>
    <w:rsid w:val="005526E5"/>
    <w:rsid w:val="00552926"/>
    <w:rsid w:val="0055316B"/>
    <w:rsid w:val="0055371F"/>
    <w:rsid w:val="00566C78"/>
    <w:rsid w:val="005675A3"/>
    <w:rsid w:val="0057256E"/>
    <w:rsid w:val="00574BC5"/>
    <w:rsid w:val="00574E5B"/>
    <w:rsid w:val="0057716A"/>
    <w:rsid w:val="005825A2"/>
    <w:rsid w:val="0058320E"/>
    <w:rsid w:val="005969E1"/>
    <w:rsid w:val="005A3B68"/>
    <w:rsid w:val="005A4F54"/>
    <w:rsid w:val="005A71F0"/>
    <w:rsid w:val="005B065F"/>
    <w:rsid w:val="005C0E21"/>
    <w:rsid w:val="005C3181"/>
    <w:rsid w:val="005C4DF7"/>
    <w:rsid w:val="005D4005"/>
    <w:rsid w:val="005D6497"/>
    <w:rsid w:val="005E021A"/>
    <w:rsid w:val="005E051C"/>
    <w:rsid w:val="005E06A8"/>
    <w:rsid w:val="005E2959"/>
    <w:rsid w:val="005E6216"/>
    <w:rsid w:val="005F09BA"/>
    <w:rsid w:val="005F44FA"/>
    <w:rsid w:val="005F4717"/>
    <w:rsid w:val="005F7B57"/>
    <w:rsid w:val="00610B39"/>
    <w:rsid w:val="00610F10"/>
    <w:rsid w:val="006118B0"/>
    <w:rsid w:val="006148A5"/>
    <w:rsid w:val="00615664"/>
    <w:rsid w:val="00620C4F"/>
    <w:rsid w:val="00622F67"/>
    <w:rsid w:val="006271E8"/>
    <w:rsid w:val="00632227"/>
    <w:rsid w:val="00637014"/>
    <w:rsid w:val="006470F8"/>
    <w:rsid w:val="00650E9F"/>
    <w:rsid w:val="0065457F"/>
    <w:rsid w:val="00655089"/>
    <w:rsid w:val="00655369"/>
    <w:rsid w:val="0066501A"/>
    <w:rsid w:val="006660DC"/>
    <w:rsid w:val="00671B37"/>
    <w:rsid w:val="00672110"/>
    <w:rsid w:val="006722F0"/>
    <w:rsid w:val="00673BF6"/>
    <w:rsid w:val="00675A92"/>
    <w:rsid w:val="006814A7"/>
    <w:rsid w:val="00681694"/>
    <w:rsid w:val="006937FC"/>
    <w:rsid w:val="006A0FB9"/>
    <w:rsid w:val="006A22B5"/>
    <w:rsid w:val="006A586D"/>
    <w:rsid w:val="006B16FE"/>
    <w:rsid w:val="006B41D8"/>
    <w:rsid w:val="006B4D37"/>
    <w:rsid w:val="006C2145"/>
    <w:rsid w:val="006C293B"/>
    <w:rsid w:val="006C536D"/>
    <w:rsid w:val="006C7884"/>
    <w:rsid w:val="006D0CC4"/>
    <w:rsid w:val="006D17B1"/>
    <w:rsid w:val="006D4D44"/>
    <w:rsid w:val="006E51F0"/>
    <w:rsid w:val="006F2BEF"/>
    <w:rsid w:val="006F4E2F"/>
    <w:rsid w:val="006F6971"/>
    <w:rsid w:val="006F7514"/>
    <w:rsid w:val="007033DF"/>
    <w:rsid w:val="007063E6"/>
    <w:rsid w:val="00713A75"/>
    <w:rsid w:val="00717827"/>
    <w:rsid w:val="00725031"/>
    <w:rsid w:val="007263D6"/>
    <w:rsid w:val="00726FD5"/>
    <w:rsid w:val="00730EAD"/>
    <w:rsid w:val="007314DA"/>
    <w:rsid w:val="0073383F"/>
    <w:rsid w:val="00734FF4"/>
    <w:rsid w:val="00736FA9"/>
    <w:rsid w:val="00737BB1"/>
    <w:rsid w:val="007429C6"/>
    <w:rsid w:val="00746A2A"/>
    <w:rsid w:val="0074705A"/>
    <w:rsid w:val="00747764"/>
    <w:rsid w:val="007511EC"/>
    <w:rsid w:val="007518CE"/>
    <w:rsid w:val="00751D61"/>
    <w:rsid w:val="0075388C"/>
    <w:rsid w:val="00775906"/>
    <w:rsid w:val="007768E4"/>
    <w:rsid w:val="00780E8B"/>
    <w:rsid w:val="00784D1C"/>
    <w:rsid w:val="007902FE"/>
    <w:rsid w:val="007919DE"/>
    <w:rsid w:val="007944F3"/>
    <w:rsid w:val="007A245F"/>
    <w:rsid w:val="007A482C"/>
    <w:rsid w:val="007B2136"/>
    <w:rsid w:val="007B4695"/>
    <w:rsid w:val="007D1AC4"/>
    <w:rsid w:val="007F25D7"/>
    <w:rsid w:val="007F2FB9"/>
    <w:rsid w:val="007F6871"/>
    <w:rsid w:val="008022EA"/>
    <w:rsid w:val="008028F2"/>
    <w:rsid w:val="00816297"/>
    <w:rsid w:val="008208A4"/>
    <w:rsid w:val="00822F78"/>
    <w:rsid w:val="00823C05"/>
    <w:rsid w:val="0083475F"/>
    <w:rsid w:val="00835480"/>
    <w:rsid w:val="0083593C"/>
    <w:rsid w:val="008362DE"/>
    <w:rsid w:val="008406C8"/>
    <w:rsid w:val="00847B73"/>
    <w:rsid w:val="0085107B"/>
    <w:rsid w:val="00860E86"/>
    <w:rsid w:val="0086547E"/>
    <w:rsid w:val="0087000C"/>
    <w:rsid w:val="008709A6"/>
    <w:rsid w:val="0087207B"/>
    <w:rsid w:val="00884024"/>
    <w:rsid w:val="00890D81"/>
    <w:rsid w:val="00891009"/>
    <w:rsid w:val="008920AF"/>
    <w:rsid w:val="0089254E"/>
    <w:rsid w:val="00896BEE"/>
    <w:rsid w:val="008A4F72"/>
    <w:rsid w:val="008A6AE9"/>
    <w:rsid w:val="008B1389"/>
    <w:rsid w:val="008B344C"/>
    <w:rsid w:val="008B39E0"/>
    <w:rsid w:val="008B4B78"/>
    <w:rsid w:val="008C1A7B"/>
    <w:rsid w:val="008C3D5F"/>
    <w:rsid w:val="008E19E7"/>
    <w:rsid w:val="008E28B4"/>
    <w:rsid w:val="008E35EB"/>
    <w:rsid w:val="008F326F"/>
    <w:rsid w:val="008F3F8F"/>
    <w:rsid w:val="008F7577"/>
    <w:rsid w:val="008F7722"/>
    <w:rsid w:val="00900BF7"/>
    <w:rsid w:val="0090240A"/>
    <w:rsid w:val="00910D50"/>
    <w:rsid w:val="00912367"/>
    <w:rsid w:val="00924CC7"/>
    <w:rsid w:val="0092602C"/>
    <w:rsid w:val="00934822"/>
    <w:rsid w:val="0093499D"/>
    <w:rsid w:val="00934A9C"/>
    <w:rsid w:val="009426A3"/>
    <w:rsid w:val="0094595A"/>
    <w:rsid w:val="00950301"/>
    <w:rsid w:val="00962328"/>
    <w:rsid w:val="00963E7A"/>
    <w:rsid w:val="009658C1"/>
    <w:rsid w:val="009724E1"/>
    <w:rsid w:val="00973E5E"/>
    <w:rsid w:val="00994402"/>
    <w:rsid w:val="0099487D"/>
    <w:rsid w:val="009978E4"/>
    <w:rsid w:val="009A14BB"/>
    <w:rsid w:val="009A2A1A"/>
    <w:rsid w:val="009A3404"/>
    <w:rsid w:val="009A49D6"/>
    <w:rsid w:val="009B0A1D"/>
    <w:rsid w:val="009B226D"/>
    <w:rsid w:val="009C081D"/>
    <w:rsid w:val="009C20D5"/>
    <w:rsid w:val="009C39E6"/>
    <w:rsid w:val="009C6A3F"/>
    <w:rsid w:val="009C74DA"/>
    <w:rsid w:val="009D075E"/>
    <w:rsid w:val="009D1E2B"/>
    <w:rsid w:val="009E25B3"/>
    <w:rsid w:val="009E2816"/>
    <w:rsid w:val="009E4F87"/>
    <w:rsid w:val="009E50C9"/>
    <w:rsid w:val="009E60D8"/>
    <w:rsid w:val="009F2A07"/>
    <w:rsid w:val="009F5DD4"/>
    <w:rsid w:val="00A138F1"/>
    <w:rsid w:val="00A1498D"/>
    <w:rsid w:val="00A20745"/>
    <w:rsid w:val="00A24FBB"/>
    <w:rsid w:val="00A26A23"/>
    <w:rsid w:val="00A2772C"/>
    <w:rsid w:val="00A4067C"/>
    <w:rsid w:val="00A40A52"/>
    <w:rsid w:val="00A42679"/>
    <w:rsid w:val="00A42683"/>
    <w:rsid w:val="00A4474C"/>
    <w:rsid w:val="00A45446"/>
    <w:rsid w:val="00A574E4"/>
    <w:rsid w:val="00A57916"/>
    <w:rsid w:val="00A6680B"/>
    <w:rsid w:val="00A73B22"/>
    <w:rsid w:val="00A77B49"/>
    <w:rsid w:val="00A805FA"/>
    <w:rsid w:val="00A81FC7"/>
    <w:rsid w:val="00A845C0"/>
    <w:rsid w:val="00A86D2D"/>
    <w:rsid w:val="00A924AD"/>
    <w:rsid w:val="00A935D5"/>
    <w:rsid w:val="00A9799D"/>
    <w:rsid w:val="00AA7587"/>
    <w:rsid w:val="00AB2430"/>
    <w:rsid w:val="00AB6B78"/>
    <w:rsid w:val="00AC31AD"/>
    <w:rsid w:val="00AC3C15"/>
    <w:rsid w:val="00AC629A"/>
    <w:rsid w:val="00AC6D02"/>
    <w:rsid w:val="00AC77F4"/>
    <w:rsid w:val="00AD42D8"/>
    <w:rsid w:val="00AD5D9C"/>
    <w:rsid w:val="00AD773B"/>
    <w:rsid w:val="00AF523B"/>
    <w:rsid w:val="00AF6E26"/>
    <w:rsid w:val="00AF7B4D"/>
    <w:rsid w:val="00B01598"/>
    <w:rsid w:val="00B03E78"/>
    <w:rsid w:val="00B0425F"/>
    <w:rsid w:val="00B175C4"/>
    <w:rsid w:val="00B2262C"/>
    <w:rsid w:val="00B241EF"/>
    <w:rsid w:val="00B43092"/>
    <w:rsid w:val="00B51E0E"/>
    <w:rsid w:val="00B53542"/>
    <w:rsid w:val="00B537A9"/>
    <w:rsid w:val="00B551E1"/>
    <w:rsid w:val="00B571BF"/>
    <w:rsid w:val="00B617C5"/>
    <w:rsid w:val="00B62C18"/>
    <w:rsid w:val="00B634C0"/>
    <w:rsid w:val="00B75187"/>
    <w:rsid w:val="00B810F2"/>
    <w:rsid w:val="00B853C4"/>
    <w:rsid w:val="00B866BA"/>
    <w:rsid w:val="00B95A2D"/>
    <w:rsid w:val="00B95CA1"/>
    <w:rsid w:val="00BA2BA9"/>
    <w:rsid w:val="00BA5F83"/>
    <w:rsid w:val="00BA64D9"/>
    <w:rsid w:val="00BA68C0"/>
    <w:rsid w:val="00BB2421"/>
    <w:rsid w:val="00BB58FD"/>
    <w:rsid w:val="00BC1D56"/>
    <w:rsid w:val="00BC4930"/>
    <w:rsid w:val="00BC5799"/>
    <w:rsid w:val="00BC5CC7"/>
    <w:rsid w:val="00BD08DB"/>
    <w:rsid w:val="00BD481F"/>
    <w:rsid w:val="00BD5E97"/>
    <w:rsid w:val="00BE046F"/>
    <w:rsid w:val="00BE4190"/>
    <w:rsid w:val="00BE64AD"/>
    <w:rsid w:val="00BF3DFB"/>
    <w:rsid w:val="00C00E4F"/>
    <w:rsid w:val="00C0564A"/>
    <w:rsid w:val="00C105A6"/>
    <w:rsid w:val="00C105C4"/>
    <w:rsid w:val="00C205E6"/>
    <w:rsid w:val="00C26AF6"/>
    <w:rsid w:val="00C27B82"/>
    <w:rsid w:val="00C30031"/>
    <w:rsid w:val="00C303FC"/>
    <w:rsid w:val="00C33F35"/>
    <w:rsid w:val="00C34058"/>
    <w:rsid w:val="00C37188"/>
    <w:rsid w:val="00C43F5E"/>
    <w:rsid w:val="00C45526"/>
    <w:rsid w:val="00C47B99"/>
    <w:rsid w:val="00C53A25"/>
    <w:rsid w:val="00C544B3"/>
    <w:rsid w:val="00C55A2F"/>
    <w:rsid w:val="00C57C78"/>
    <w:rsid w:val="00C61885"/>
    <w:rsid w:val="00C63B3A"/>
    <w:rsid w:val="00C713D5"/>
    <w:rsid w:val="00C714C0"/>
    <w:rsid w:val="00C73827"/>
    <w:rsid w:val="00C80CB8"/>
    <w:rsid w:val="00C813AD"/>
    <w:rsid w:val="00C82EC2"/>
    <w:rsid w:val="00C86210"/>
    <w:rsid w:val="00C87736"/>
    <w:rsid w:val="00CA3025"/>
    <w:rsid w:val="00CA5532"/>
    <w:rsid w:val="00CB4942"/>
    <w:rsid w:val="00CB49FF"/>
    <w:rsid w:val="00CC51B8"/>
    <w:rsid w:val="00CD327F"/>
    <w:rsid w:val="00CD50B1"/>
    <w:rsid w:val="00CF082E"/>
    <w:rsid w:val="00CF2872"/>
    <w:rsid w:val="00CF31EC"/>
    <w:rsid w:val="00CF48D6"/>
    <w:rsid w:val="00D019F5"/>
    <w:rsid w:val="00D03CE8"/>
    <w:rsid w:val="00D0766F"/>
    <w:rsid w:val="00D10672"/>
    <w:rsid w:val="00D11CD0"/>
    <w:rsid w:val="00D13DDC"/>
    <w:rsid w:val="00D163DB"/>
    <w:rsid w:val="00D2632F"/>
    <w:rsid w:val="00D34601"/>
    <w:rsid w:val="00D358D5"/>
    <w:rsid w:val="00D379AF"/>
    <w:rsid w:val="00D442CE"/>
    <w:rsid w:val="00D44A30"/>
    <w:rsid w:val="00D46493"/>
    <w:rsid w:val="00D521CB"/>
    <w:rsid w:val="00D52FA1"/>
    <w:rsid w:val="00D56C35"/>
    <w:rsid w:val="00D65B4D"/>
    <w:rsid w:val="00D740A8"/>
    <w:rsid w:val="00D7546B"/>
    <w:rsid w:val="00D75F38"/>
    <w:rsid w:val="00D83D86"/>
    <w:rsid w:val="00D865B1"/>
    <w:rsid w:val="00D94729"/>
    <w:rsid w:val="00D97BF8"/>
    <w:rsid w:val="00DA12E0"/>
    <w:rsid w:val="00DA1C01"/>
    <w:rsid w:val="00DC157B"/>
    <w:rsid w:val="00DC19A2"/>
    <w:rsid w:val="00DD0FA4"/>
    <w:rsid w:val="00DD158B"/>
    <w:rsid w:val="00DD2C96"/>
    <w:rsid w:val="00DD2E13"/>
    <w:rsid w:val="00DD58CF"/>
    <w:rsid w:val="00DD7C41"/>
    <w:rsid w:val="00DE027B"/>
    <w:rsid w:val="00DF0BD4"/>
    <w:rsid w:val="00DF267D"/>
    <w:rsid w:val="00DF2E63"/>
    <w:rsid w:val="00DF7390"/>
    <w:rsid w:val="00E0053B"/>
    <w:rsid w:val="00E16FA2"/>
    <w:rsid w:val="00E175A1"/>
    <w:rsid w:val="00E22722"/>
    <w:rsid w:val="00E241A1"/>
    <w:rsid w:val="00E254E7"/>
    <w:rsid w:val="00E30955"/>
    <w:rsid w:val="00E32063"/>
    <w:rsid w:val="00E358FB"/>
    <w:rsid w:val="00E46848"/>
    <w:rsid w:val="00E46CD6"/>
    <w:rsid w:val="00E51643"/>
    <w:rsid w:val="00E51A79"/>
    <w:rsid w:val="00E52092"/>
    <w:rsid w:val="00E539E7"/>
    <w:rsid w:val="00E5438B"/>
    <w:rsid w:val="00E627BC"/>
    <w:rsid w:val="00E8215E"/>
    <w:rsid w:val="00E83479"/>
    <w:rsid w:val="00E84304"/>
    <w:rsid w:val="00E84F42"/>
    <w:rsid w:val="00E853AB"/>
    <w:rsid w:val="00E85A6B"/>
    <w:rsid w:val="00E91C6B"/>
    <w:rsid w:val="00E957D9"/>
    <w:rsid w:val="00E96C28"/>
    <w:rsid w:val="00EA1E1B"/>
    <w:rsid w:val="00EA2957"/>
    <w:rsid w:val="00EA2EA5"/>
    <w:rsid w:val="00EB39E5"/>
    <w:rsid w:val="00EB610E"/>
    <w:rsid w:val="00EC0AEA"/>
    <w:rsid w:val="00EC5A28"/>
    <w:rsid w:val="00EC7BC3"/>
    <w:rsid w:val="00EC7F5A"/>
    <w:rsid w:val="00ED1187"/>
    <w:rsid w:val="00ED18C1"/>
    <w:rsid w:val="00ED2498"/>
    <w:rsid w:val="00ED3405"/>
    <w:rsid w:val="00EE5152"/>
    <w:rsid w:val="00EE6B62"/>
    <w:rsid w:val="00EF23B5"/>
    <w:rsid w:val="00EF6315"/>
    <w:rsid w:val="00F0110A"/>
    <w:rsid w:val="00F245E7"/>
    <w:rsid w:val="00F249EC"/>
    <w:rsid w:val="00F25592"/>
    <w:rsid w:val="00F31AE2"/>
    <w:rsid w:val="00F3225C"/>
    <w:rsid w:val="00F328A7"/>
    <w:rsid w:val="00F411A7"/>
    <w:rsid w:val="00F449BB"/>
    <w:rsid w:val="00F4613A"/>
    <w:rsid w:val="00F51D87"/>
    <w:rsid w:val="00F53737"/>
    <w:rsid w:val="00F63D57"/>
    <w:rsid w:val="00F65373"/>
    <w:rsid w:val="00F6603B"/>
    <w:rsid w:val="00F660DA"/>
    <w:rsid w:val="00F764F9"/>
    <w:rsid w:val="00F802BD"/>
    <w:rsid w:val="00F807D1"/>
    <w:rsid w:val="00F80D40"/>
    <w:rsid w:val="00F8178A"/>
    <w:rsid w:val="00F858D5"/>
    <w:rsid w:val="00F86824"/>
    <w:rsid w:val="00F8749E"/>
    <w:rsid w:val="00F90C23"/>
    <w:rsid w:val="00F94370"/>
    <w:rsid w:val="00F97902"/>
    <w:rsid w:val="00FA2BB4"/>
    <w:rsid w:val="00FA5FAD"/>
    <w:rsid w:val="00FC25B0"/>
    <w:rsid w:val="00FC5F54"/>
    <w:rsid w:val="00FC70A6"/>
    <w:rsid w:val="00FC7907"/>
    <w:rsid w:val="00FD4DC4"/>
    <w:rsid w:val="00FE0A2B"/>
    <w:rsid w:val="00FE0F8A"/>
    <w:rsid w:val="00FE2839"/>
    <w:rsid w:val="06EC6D6C"/>
    <w:rsid w:val="18AF1F41"/>
    <w:rsid w:val="1DDFADEE"/>
    <w:rsid w:val="39FF838D"/>
    <w:rsid w:val="3BE711D9"/>
    <w:rsid w:val="3DD43653"/>
    <w:rsid w:val="3ECFC080"/>
    <w:rsid w:val="3FF5D286"/>
    <w:rsid w:val="4B080428"/>
    <w:rsid w:val="4BFF1D31"/>
    <w:rsid w:val="4DFD3A7B"/>
    <w:rsid w:val="4EFD032A"/>
    <w:rsid w:val="4F7FB91C"/>
    <w:rsid w:val="57EFDFC4"/>
    <w:rsid w:val="5CAF3B9D"/>
    <w:rsid w:val="5DFD03CB"/>
    <w:rsid w:val="5EF85BA4"/>
    <w:rsid w:val="6F6FC23E"/>
    <w:rsid w:val="78FB59BA"/>
    <w:rsid w:val="7D0267CB"/>
    <w:rsid w:val="7D3B0367"/>
    <w:rsid w:val="7DBEA0FD"/>
    <w:rsid w:val="7FFF35A3"/>
    <w:rsid w:val="7FFFFA85"/>
    <w:rsid w:val="A52F78EC"/>
    <w:rsid w:val="A7973E12"/>
    <w:rsid w:val="B7F3C9EB"/>
    <w:rsid w:val="D3DEE996"/>
    <w:rsid w:val="DF775267"/>
    <w:rsid w:val="DFF7C16C"/>
    <w:rsid w:val="EABF85FB"/>
    <w:rsid w:val="EFFD6E24"/>
    <w:rsid w:val="F4FDBED2"/>
    <w:rsid w:val="FD6D5406"/>
    <w:rsid w:val="FFBF0227"/>
    <w:rsid w:val="FFCDA0E9"/>
    <w:rsid w:val="FFE3766E"/>
    <w:rsid w:val="FFFE90E8"/>
    <w:rsid w:val="FFFFBFC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nhideWhenUsed="0" w:uiPriority="0" w:semiHidden="0"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2"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name="Strong"/>
    <w:lsdException w:qFormat="1" w:unhideWhenUsed="0" w:uiPriority="2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next w:val="2"/>
    <w:qFormat/>
    <w:uiPriority w:val="0"/>
    <w:pPr>
      <w:spacing w:line="579" w:lineRule="exact"/>
      <w:jc w:val="both"/>
    </w:pPr>
    <w:rPr>
      <w:kern w:val="2"/>
      <w:sz w:val="32"/>
      <w:szCs w:val="28"/>
      <w:lang w:val="en-US" w:eastAsia="zh-CN" w:bidi="ar-SA"/>
    </w:rPr>
  </w:style>
  <w:style w:type="paragraph" w:styleId="3">
    <w:name w:val="heading 1"/>
    <w:basedOn w:val="1"/>
    <w:next w:val="1"/>
    <w:link w:val="13"/>
    <w:qFormat/>
    <w:uiPriority w:val="9"/>
    <w:pPr>
      <w:ind w:firstLine="200" w:firstLineChars="200"/>
      <w:outlineLvl w:val="0"/>
    </w:pPr>
    <w:rPr>
      <w:rFonts w:ascii="黑体" w:eastAsia="黑体"/>
      <w:bCs/>
      <w:szCs w:val="44"/>
    </w:rPr>
  </w:style>
  <w:style w:type="paragraph" w:styleId="4">
    <w:name w:val="heading 2"/>
    <w:basedOn w:val="1"/>
    <w:next w:val="1"/>
    <w:link w:val="14"/>
    <w:qFormat/>
    <w:uiPriority w:val="9"/>
    <w:pPr>
      <w:ind w:firstLine="200" w:firstLineChars="200"/>
      <w:outlineLvl w:val="1"/>
    </w:pPr>
    <w:rPr>
      <w:rFonts w:ascii="楷体" w:eastAsia="楷体"/>
      <w:bCs/>
    </w:rPr>
  </w:style>
  <w:style w:type="character" w:default="1" w:styleId="12">
    <w:name w:val="Default Paragraph Font"/>
    <w:unhideWhenUsed/>
    <w:uiPriority w:val="1"/>
  </w:style>
  <w:style w:type="table" w:default="1" w:styleId="11">
    <w:name w:val="Normal Table"/>
    <w:unhideWhenUsed/>
    <w:uiPriority w:val="99"/>
    <w:tblPr>
      <w:tblStyle w:val="11"/>
      <w:tblCellMar>
        <w:top w:w="0" w:type="dxa"/>
        <w:left w:w="108" w:type="dxa"/>
        <w:bottom w:w="0" w:type="dxa"/>
        <w:right w:w="108" w:type="dxa"/>
      </w:tblCellMar>
    </w:tblPr>
  </w:style>
  <w:style w:type="paragraph" w:styleId="2">
    <w:name w:val="footnote text"/>
    <w:basedOn w:val="1"/>
    <w:uiPriority w:val="0"/>
    <w:pPr>
      <w:snapToGrid w:val="0"/>
      <w:jc w:val="left"/>
    </w:pPr>
    <w:rPr>
      <w:rFonts w:ascii="Times New Roman" w:hAnsi="Times New Roman" w:eastAsia="宋体" w:cs="Times New Roman"/>
      <w:sz w:val="18"/>
      <w:szCs w:val="18"/>
    </w:rPr>
  </w:style>
  <w:style w:type="paragraph" w:styleId="5">
    <w:name w:val="Body Text"/>
    <w:basedOn w:val="1"/>
    <w:qFormat/>
    <w:uiPriority w:val="0"/>
    <w:pPr>
      <w:keepNext w:val="0"/>
      <w:keepLines w:val="0"/>
      <w:widowControl w:val="0"/>
      <w:suppressLineNumbers w:val="0"/>
      <w:spacing w:before="0" w:beforeAutospacing="0" w:after="120" w:afterAutospacing="0"/>
      <w:ind w:left="0" w:right="0"/>
      <w:jc w:val="both"/>
    </w:pPr>
    <w:rPr>
      <w:rFonts w:hint="default" w:ascii="Times New Roman" w:hAnsi="Times New Roman" w:eastAsia="宋体" w:cs="Times New Roman"/>
      <w:kern w:val="2"/>
      <w:sz w:val="21"/>
      <w:szCs w:val="22"/>
      <w:lang w:val="en-US" w:eastAsia="zh-CN" w:bidi="ar"/>
    </w:rPr>
  </w:style>
  <w:style w:type="paragraph" w:styleId="6">
    <w:name w:val="footer"/>
    <w:basedOn w:val="1"/>
    <w:link w:val="15"/>
    <w:unhideWhenUsed/>
    <w:uiPriority w:val="99"/>
    <w:pPr>
      <w:tabs>
        <w:tab w:val="center" w:pos="4153"/>
        <w:tab w:val="right" w:pos="8306"/>
      </w:tabs>
      <w:snapToGrid w:val="0"/>
      <w:spacing w:line="240" w:lineRule="atLeast"/>
      <w:jc w:val="left"/>
    </w:pPr>
    <w:rPr>
      <w:sz w:val="18"/>
      <w:szCs w:val="18"/>
    </w:rPr>
  </w:style>
  <w:style w:type="paragraph" w:styleId="7">
    <w:name w:val="header"/>
    <w:basedOn w:val="1"/>
    <w:link w:val="16"/>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unhideWhenUsed/>
    <w:uiPriority w:val="99"/>
    <w:pPr>
      <w:spacing w:before="100" w:beforeAutospacing="1" w:after="100" w:afterAutospacing="1"/>
      <w:ind w:left="0" w:right="0"/>
      <w:jc w:val="left"/>
    </w:pPr>
    <w:rPr>
      <w:kern w:val="0"/>
      <w:sz w:val="24"/>
      <w:lang w:val="en-US" w:eastAsia="zh-CN" w:bidi="ar"/>
    </w:rPr>
  </w:style>
  <w:style w:type="paragraph" w:styleId="10">
    <w:name w:val="Title"/>
    <w:basedOn w:val="1"/>
    <w:next w:val="1"/>
    <w:link w:val="17"/>
    <w:qFormat/>
    <w:uiPriority w:val="1"/>
    <w:pPr>
      <w:jc w:val="center"/>
    </w:pPr>
    <w:rPr>
      <w:rFonts w:ascii="方正小标宋简体" w:eastAsia="方正小标宋简体"/>
      <w:bCs/>
      <w:sz w:val="44"/>
    </w:rPr>
  </w:style>
  <w:style w:type="character" w:customStyle="1" w:styleId="13">
    <w:name w:val="标题 1 字符"/>
    <w:link w:val="3"/>
    <w:uiPriority w:val="9"/>
    <w:rPr>
      <w:rFonts w:ascii="黑体" w:eastAsia="黑体"/>
      <w:bCs/>
      <w:szCs w:val="44"/>
    </w:rPr>
  </w:style>
  <w:style w:type="character" w:customStyle="1" w:styleId="14">
    <w:name w:val="标题 2 字符"/>
    <w:link w:val="4"/>
    <w:uiPriority w:val="9"/>
    <w:rPr>
      <w:rFonts w:ascii="楷体" w:eastAsia="楷体"/>
      <w:bCs/>
    </w:rPr>
  </w:style>
  <w:style w:type="character" w:customStyle="1" w:styleId="15">
    <w:name w:val="页脚 字符"/>
    <w:link w:val="6"/>
    <w:uiPriority w:val="99"/>
    <w:rPr>
      <w:kern w:val="2"/>
      <w:sz w:val="18"/>
      <w:szCs w:val="18"/>
    </w:rPr>
  </w:style>
  <w:style w:type="character" w:customStyle="1" w:styleId="16">
    <w:name w:val="页眉 字符"/>
    <w:link w:val="7"/>
    <w:uiPriority w:val="99"/>
    <w:rPr>
      <w:kern w:val="2"/>
      <w:sz w:val="18"/>
      <w:szCs w:val="18"/>
    </w:rPr>
  </w:style>
  <w:style w:type="character" w:customStyle="1" w:styleId="17">
    <w:name w:val="标题 字符"/>
    <w:link w:val="10"/>
    <w:uiPriority w:val="1"/>
    <w:rPr>
      <w:rFonts w:ascii="方正小标宋简体" w:eastAsia="方正小标宋简体"/>
      <w:bCs/>
      <w:sz w:val="44"/>
    </w:rPr>
  </w:style>
  <w:style w:type="paragraph" w:customStyle="1" w:styleId="18">
    <w:name w:val="index 8"/>
    <w:next w:val="1"/>
    <w:qFormat/>
    <w:uiPriority w:val="0"/>
    <w:pPr>
      <w:widowControl w:val="0"/>
      <w:ind w:left="1400" w:leftChars="1400"/>
      <w:jc w:val="both"/>
    </w:pPr>
    <w:rPr>
      <w:rFonts w:ascii="Calibri" w:hAnsi="Calibri" w:eastAsia="宋体" w:cs="Times New Roman"/>
      <w:kern w:val="2"/>
      <w:sz w:val="21"/>
      <w:szCs w:val="24"/>
      <w:lang w:val="en-US" w:eastAsia="zh-CN" w:bidi="ar-SA"/>
    </w:rPr>
  </w:style>
  <w:style w:type="paragraph" w:customStyle="1" w:styleId="19">
    <w:name w:val="UserStyle_0"/>
    <w:basedOn w:val="1"/>
    <w:next w:val="20"/>
    <w:qFormat/>
    <w:uiPriority w:val="0"/>
    <w:pPr>
      <w:spacing w:line="580" w:lineRule="exact"/>
      <w:ind w:firstLine="630"/>
      <w:jc w:val="both"/>
      <w:textAlignment w:val="baseline"/>
    </w:pPr>
    <w:rPr>
      <w:rFonts w:ascii="仿宋_GB2312" w:hAnsi="Times New Roman" w:eastAsia="宋体" w:cs="Times New Roman"/>
      <w:kern w:val="2"/>
      <w:sz w:val="21"/>
      <w:szCs w:val="24"/>
      <w:lang w:val="en-US" w:eastAsia="zh-CN" w:bidi="ar-SA"/>
    </w:rPr>
  </w:style>
  <w:style w:type="paragraph" w:customStyle="1" w:styleId="20">
    <w:name w:val="UserStyle_1"/>
    <w:basedOn w:val="1"/>
    <w:qFormat/>
    <w:uiPriority w:val="0"/>
    <w:pPr>
      <w:ind w:firstLine="420" w:firstLineChars="200"/>
      <w:jc w:val="both"/>
      <w:textAlignment w:val="baseline"/>
    </w:pPr>
    <w:rPr>
      <w:rFonts w:ascii="Times New Roman" w:hAnsi="Times New Roman" w:eastAsia="仿宋"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10836</Words>
  <Characters>11727</Characters>
  <Lines>6</Lines>
  <Paragraphs>1</Paragraphs>
  <TotalTime>16.3333333333333</TotalTime>
  <ScaleCrop>false</ScaleCrop>
  <LinksUpToDate>false</LinksUpToDate>
  <CharactersWithSpaces>11774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2023-07-06T10:45:00Z</dcterms:created>
  <dcterms:modified xsi:type="dcterms:W3CDTF">2024-10-30T00:56:12Z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EC6B124996764F57B40C648AE4164B79_13</vt:lpwstr>
  </property>
</Properties>
</file>