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781" w:beforeLines="250"/>
        <w:ind w:right="0" w:rightChars="0"/>
        <w:jc w:val="distribute"/>
        <w:textAlignment w:val="auto"/>
        <w:rPr>
          <w:rFonts w:hint="eastAsia" w:ascii="宋体" w:hAnsi="宋体" w:eastAsia="方正小标宋简体" w:cs="方正小标宋简体"/>
          <w:b w:val="0"/>
          <w:bCs w:val="0"/>
          <w:color w:val="FF0000"/>
          <w:spacing w:val="-68"/>
          <w:w w:val="75"/>
          <w:sz w:val="76"/>
          <w:szCs w:val="76"/>
          <w:lang w:val="en-US" w:eastAsia="zh-CN"/>
        </w:rPr>
      </w:pPr>
      <w:r>
        <w:rPr>
          <w:rFonts w:hint="eastAsia" w:ascii="宋体" w:hAnsi="宋体" w:eastAsia="方正小标宋简体" w:cs="方正小标宋简体"/>
          <w:b w:val="0"/>
          <w:bCs w:val="0"/>
          <w:color w:val="FF0000"/>
          <w:spacing w:val="-68"/>
          <w:w w:val="75"/>
          <w:sz w:val="76"/>
          <w:szCs w:val="76"/>
        </w:rPr>
        <w:t>赣州市</w:t>
      </w:r>
      <w:r>
        <w:rPr>
          <w:rFonts w:hint="eastAsia" w:ascii="宋体" w:hAnsi="宋体" w:eastAsia="方正小标宋简体" w:cs="方正小标宋简体"/>
          <w:b w:val="0"/>
          <w:bCs w:val="0"/>
          <w:color w:val="FF0000"/>
          <w:spacing w:val="-68"/>
          <w:w w:val="75"/>
          <w:sz w:val="76"/>
          <w:szCs w:val="76"/>
          <w:lang w:val="en-US" w:eastAsia="zh-CN"/>
        </w:rPr>
        <w:t>文化广电新闻出版旅游局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jc w:val="distribute"/>
        <w:textAlignment w:val="auto"/>
        <w:rPr>
          <w:rFonts w:hint="eastAsia" w:ascii="宋体" w:hAnsi="宋体" w:eastAsia="方正小标宋简体" w:cs="方正小标宋简体"/>
          <w:b w:val="0"/>
          <w:bCs w:val="0"/>
          <w:color w:val="FF0000"/>
          <w:spacing w:val="-68"/>
          <w:w w:val="90"/>
          <w:sz w:val="84"/>
          <w:szCs w:val="84"/>
          <w:lang w:val="en-US" w:eastAsia="zh-CN"/>
        </w:rPr>
      </w:pPr>
      <w:r>
        <w:rPr>
          <w:rFonts w:hint="eastAsia" w:ascii="宋体" w:hAnsi="宋体" w:eastAsia="方正小标宋简体" w:cs="方正小标宋简体"/>
          <w:b w:val="0"/>
          <w:bCs w:val="0"/>
          <w:color w:val="FF0000"/>
          <w:spacing w:val="-68"/>
          <w:w w:val="75"/>
          <w:sz w:val="76"/>
          <w:szCs w:val="76"/>
          <w:lang w:val="en-US" w:eastAsia="zh-CN"/>
        </w:rPr>
        <w:t>赣州市财政局</w:t>
      </w:r>
    </w:p>
    <w:p>
      <w:pPr>
        <w:jc w:val="center"/>
        <w:rPr>
          <w:rFonts w:hint="eastAsia" w:ascii="宋体" w:hAnsi="宋体"/>
        </w:rPr>
      </w:pPr>
    </w:p>
    <w:p>
      <w:pPr>
        <w:jc w:val="center"/>
        <w:rPr>
          <w:rFonts w:hint="eastAsia" w:ascii="宋体" w:hAnsi="宋体"/>
        </w:rPr>
      </w:pPr>
    </w:p>
    <w:p>
      <w:pPr>
        <w:jc w:val="center"/>
        <w:rPr>
          <w:rFonts w:hint="eastAsia" w:ascii="宋体" w:hAnsi="宋体"/>
        </w:rPr>
      </w:pPr>
    </w:p>
    <w:p>
      <w:pPr>
        <w:spacing w:line="520" w:lineRule="exact"/>
        <w:jc w:val="center"/>
        <w:rPr>
          <w:rFonts w:hint="eastAsia" w:ascii="宋体" w:hAnsi="宋体" w:eastAsia="楷体_GB2312" w:cs="楷体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t>赣市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文广新</w:t>
      </w:r>
      <w:r>
        <w:rPr>
          <w:rFonts w:hint="eastAsia" w:ascii="宋体" w:hAnsi="宋体" w:eastAsia="仿宋_GB2312" w:cs="仿宋_GB2312"/>
          <w:sz w:val="32"/>
          <w:szCs w:val="32"/>
        </w:rPr>
        <w:t>旅字〔202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宋体" w:hAnsi="宋体" w:eastAsia="仿宋_GB2312" w:cs="仿宋_GB2312"/>
          <w:sz w:val="32"/>
          <w:szCs w:val="32"/>
        </w:rPr>
        <w:t>〕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77</w:t>
      </w:r>
      <w:r>
        <w:rPr>
          <w:rFonts w:hint="eastAsia" w:ascii="宋体" w:hAnsi="宋体" w:eastAsia="仿宋_GB2312" w:cs="仿宋_GB2312"/>
          <w:sz w:val="32"/>
          <w:szCs w:val="32"/>
        </w:rPr>
        <w:t>号</w:t>
      </w:r>
    </w:p>
    <w:p>
      <w:pPr>
        <w:spacing w:line="520" w:lineRule="exact"/>
        <w:rPr>
          <w:rFonts w:hint="eastAsia" w:ascii="宋体" w:hAnsi="宋体" w:eastAsia="楷体_GB2312" w:cs="楷体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49530</wp:posOffset>
                </wp:positionV>
                <wp:extent cx="5644515" cy="18415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true">
                          <a:off x="0" y="0"/>
                          <a:ext cx="5644515" cy="18415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0.65pt;margin-top:3.9pt;height:1.45pt;width:444.45pt;z-index:251658240;mso-width-relative:page;mso-height-relative:page;" filled="f" stroked="t" coordsize="21600,21600" o:gfxdata="UEsFBgAAAAAAAAAAAAAAAAAAAAAAAFBLAwQKAAAAAACHTuJAAAAAAAAAAAAAAAAABAAAAGRycy9Q&#10;SwMEFAAAAAgAh07iQIVKT1fTAAAABgEAAA8AAABkcnMvZG93bnJldi54bWxNjl9rwjAUxd8H+w7h&#10;DvY2ExXUdU1lCBOqDKbb3mNzbYvNTUlidd9+16ft8fzhnF++vLpODBhi60nDeKRAIFXetlRr+Pp8&#10;e1qAiMmQNZ0n1PCDEZbF/V1uMusvtMNhn2rBIxQzo6FJqc+kjFWDzsSR75E4O/rgTGIZammDufC4&#10;6+REqZl0piV+aEyPqwar0/7sNNB2E3anj/fV93qNw/S1L+2xLLV+fBirFxAJr+mvDDd8RoeCmQ7+&#10;TDaKjvWUixrmzM/p4llNQBzYVnOQRS7/4xe/UEsDBBQAAAAIAIdO4kA6z1sf6QEAAKsDAAAOAAAA&#10;ZHJzL2Uyb0RvYy54bWytU0uOEzEQ3SNxB8t70p0oGQ2tdGYxIWwQROKzr/jTbck/2U46uQQXQGIH&#10;K5bsuc0Mx6DsDuG3QYhelMpdz8/1nsvLm6PR5CBCVM62dDqpKRGWOa5s19LXrzaPrimJCSwH7axo&#10;6UlEerN6+GA5+EbMXO80F4EgiY3N4Fvap+SbqoqsFwbixHlhsShdMJBwGbqKBxiQ3ehqVtdX1eAC&#10;98ExESP+XY9Fuir8UgqWXkgZRSK6pdhbKjGUuMuxWi2h6QL4XrFzG/APXRhQFg+9UK0hAdkH9QeV&#10;USy46GSaMGcqJ6ViomhANdP6NzUve/CiaEFzor/YFP8fLXt+2AaieEtnlFgweEX37z7fvf3w9ct7&#10;jPefPpJZNmnwsUHsrd2G8yr6bciKjzIYIrXyb1qawj73Cw0KI8fi8unisjgmwvDn4mo+X0wXlDCs&#10;Ta/nmCJlNTLlzT7E9FQ4Q3LSUq3sSAqHZzGN0O+QDNeWDEj0uF7gBTPAIZIaEqbGo6xou9JRdFrx&#10;jdI6b4mh293qQA6AY7HZ1Pide/gFlk9ZQ+xHXCllGDS9AP7EcpJOHg2zONk092AEp0QLfAg5K8gE&#10;Sv8NEuVriy5kn0dnc7Zz/ITXs/dBdT1aUfzNDuQiTkSx7Ty9eeR+XhfUjze2+gZ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WAAAAZHJzL1BL&#10;AQIUABQAAAAIAIdO4kCFSk9X0wAAAAYBAAAPAAAAAAAAAAEAIAAAADgAAABkcnMvZG93bnJldi54&#10;bWxQSwECFAAUAAAACACHTuJAOs9bH+kBAACrAwAADgAAAAAAAAABACAAAAA4AQAAZHJzL2Uyb0Rv&#10;Yy54bWxQSwUGAAAAAAYABgBZAQAAkwUAAAAA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45" w:beforeLines="50" w:beforeAutospacing="0" w:after="0" w:afterAutospacing="0" w:line="560" w:lineRule="exact"/>
        <w:jc w:val="center"/>
        <w:textAlignment w:val="baseline"/>
        <w:rPr>
          <w:rStyle w:val="10"/>
          <w:rFonts w:hint="eastAsia" w:ascii="宋体" w:hAnsi="宋体" w:eastAsia="方正小标宋简体" w:cs="方正小标宋简体"/>
          <w:b w:val="0"/>
          <w:bCs/>
          <w:i w:val="0"/>
          <w:caps w:val="0"/>
          <w:color w:val="000000"/>
          <w:spacing w:val="0"/>
          <w:w w:val="100"/>
          <w:kern w:val="2"/>
          <w:sz w:val="44"/>
          <w:szCs w:val="44"/>
          <w:lang w:val="en-US" w:eastAsia="zh-CN" w:bidi="ar-SA"/>
        </w:rPr>
      </w:pPr>
      <w:r>
        <w:rPr>
          <w:rStyle w:val="10"/>
          <w:rFonts w:ascii="宋体" w:hAnsi="宋体" w:eastAsia="方正小标宋简体" w:cs="方正小标宋简体"/>
          <w:b w:val="0"/>
          <w:bCs/>
          <w:i w:val="0"/>
          <w:caps w:val="0"/>
          <w:color w:val="000000"/>
          <w:spacing w:val="0"/>
          <w:w w:val="100"/>
          <w:kern w:val="2"/>
          <w:sz w:val="44"/>
          <w:szCs w:val="44"/>
          <w:lang w:val="en-US" w:eastAsia="zh-CN" w:bidi="ar-SA"/>
        </w:rPr>
        <w:t>关于</w:t>
      </w:r>
      <w:r>
        <w:rPr>
          <w:rStyle w:val="10"/>
          <w:rFonts w:hint="eastAsia" w:ascii="宋体" w:hAnsi="宋体" w:eastAsia="方正小标宋简体" w:cs="方正小标宋简体"/>
          <w:b w:val="0"/>
          <w:bCs/>
          <w:i w:val="0"/>
          <w:caps w:val="0"/>
          <w:color w:val="000000"/>
          <w:spacing w:val="0"/>
          <w:w w:val="100"/>
          <w:kern w:val="2"/>
          <w:sz w:val="44"/>
          <w:szCs w:val="44"/>
          <w:lang w:val="en-US" w:eastAsia="zh-CN" w:bidi="ar-SA"/>
        </w:rPr>
        <w:t>印发《</w:t>
      </w:r>
      <w:r>
        <w:rPr>
          <w:rStyle w:val="10"/>
          <w:rFonts w:hint="default" w:ascii="宋体" w:hAnsi="宋体" w:eastAsia="方正小标宋简体" w:cs="方正小标宋简体"/>
          <w:b w:val="0"/>
          <w:bCs/>
          <w:i w:val="0"/>
          <w:caps w:val="0"/>
          <w:color w:val="000000"/>
          <w:spacing w:val="0"/>
          <w:w w:val="100"/>
          <w:kern w:val="2"/>
          <w:sz w:val="44"/>
          <w:szCs w:val="44"/>
          <w:lang w:val="en-US" w:eastAsia="zh-CN" w:bidi="ar-SA"/>
        </w:rPr>
        <w:t>江西</w:t>
      </w:r>
      <w:r>
        <w:rPr>
          <w:rStyle w:val="10"/>
          <w:rFonts w:hint="eastAsia" w:ascii="宋体" w:hAnsi="宋体" w:eastAsia="方正小标宋简体" w:cs="方正小标宋简体"/>
          <w:b w:val="0"/>
          <w:bCs/>
          <w:i w:val="0"/>
          <w:caps w:val="0"/>
          <w:color w:val="000000"/>
          <w:spacing w:val="0"/>
          <w:w w:val="100"/>
          <w:kern w:val="2"/>
          <w:sz w:val="44"/>
          <w:szCs w:val="44"/>
          <w:lang w:val="en-US" w:eastAsia="zh-CN" w:bidi="ar-SA"/>
        </w:rPr>
        <w:t>“百县百日”文旅消费季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45" w:beforeLines="50" w:beforeAutospacing="0" w:after="0" w:afterAutospacing="0" w:line="560" w:lineRule="exact"/>
        <w:jc w:val="center"/>
        <w:textAlignment w:val="baseline"/>
        <w:rPr>
          <w:rStyle w:val="10"/>
          <w:rFonts w:hint="eastAsia" w:ascii="宋体" w:hAnsi="宋体" w:eastAsia="方正小标宋简体" w:cs="方正小标宋简体"/>
          <w:b w:val="0"/>
          <w:bCs/>
          <w:i w:val="0"/>
          <w:caps w:val="0"/>
          <w:color w:val="000000"/>
          <w:spacing w:val="0"/>
          <w:w w:val="100"/>
          <w:kern w:val="2"/>
          <w:sz w:val="44"/>
          <w:szCs w:val="44"/>
          <w:lang w:val="en-US" w:eastAsia="zh-CN" w:bidi="ar-SA"/>
        </w:rPr>
      </w:pPr>
      <w:r>
        <w:rPr>
          <w:rStyle w:val="10"/>
          <w:rFonts w:hint="eastAsia" w:ascii="宋体" w:hAnsi="宋体" w:eastAsia="方正小标宋简体" w:cs="方正小标宋简体"/>
          <w:b w:val="0"/>
          <w:bCs/>
          <w:i w:val="0"/>
          <w:caps w:val="0"/>
          <w:color w:val="000000"/>
          <w:spacing w:val="0"/>
          <w:w w:val="100"/>
          <w:kern w:val="2"/>
          <w:sz w:val="44"/>
          <w:szCs w:val="44"/>
          <w:lang w:val="en-US" w:eastAsia="zh-CN" w:bidi="ar-SA"/>
        </w:rPr>
        <w:t>赣州分会场文旅</w:t>
      </w:r>
      <w:r>
        <w:rPr>
          <w:rStyle w:val="10"/>
          <w:rFonts w:hint="default" w:ascii="宋体" w:hAnsi="宋体" w:eastAsia="方正小标宋简体" w:cs="方正小标宋简体"/>
          <w:b w:val="0"/>
          <w:bCs/>
          <w:i w:val="0"/>
          <w:caps w:val="0"/>
          <w:color w:val="000000"/>
          <w:spacing w:val="0"/>
          <w:w w:val="100"/>
          <w:kern w:val="2"/>
          <w:sz w:val="44"/>
          <w:szCs w:val="44"/>
          <w:lang w:val="en-US" w:eastAsia="zh-CN" w:bidi="ar-SA"/>
        </w:rPr>
        <w:t>消费活动</w:t>
      </w:r>
      <w:r>
        <w:rPr>
          <w:rStyle w:val="10"/>
          <w:rFonts w:hint="eastAsia" w:ascii="宋体" w:hAnsi="宋体" w:eastAsia="方正小标宋简体" w:cs="方正小标宋简体"/>
          <w:b w:val="0"/>
          <w:bCs/>
          <w:i w:val="0"/>
          <w:caps w:val="0"/>
          <w:color w:val="000000"/>
          <w:spacing w:val="0"/>
          <w:w w:val="100"/>
          <w:kern w:val="2"/>
          <w:sz w:val="44"/>
          <w:szCs w:val="44"/>
          <w:lang w:val="en-US" w:eastAsia="zh-CN" w:bidi="ar-SA"/>
        </w:rPr>
        <w:t>方案》</w:t>
      </w:r>
      <w:r>
        <w:rPr>
          <w:rStyle w:val="10"/>
          <w:rFonts w:ascii="宋体" w:hAnsi="宋体" w:eastAsia="方正小标宋简体" w:cs="方正小标宋简体"/>
          <w:b w:val="0"/>
          <w:bCs/>
          <w:i w:val="0"/>
          <w:caps w:val="0"/>
          <w:color w:val="000000"/>
          <w:spacing w:val="0"/>
          <w:w w:val="100"/>
          <w:kern w:val="2"/>
          <w:sz w:val="44"/>
          <w:szCs w:val="44"/>
          <w:lang w:val="en-US" w:eastAsia="zh-CN" w:bidi="ar-SA"/>
        </w:rPr>
        <w:t>的</w:t>
      </w:r>
      <w:r>
        <w:rPr>
          <w:rStyle w:val="10"/>
          <w:rFonts w:hint="eastAsia" w:ascii="宋体" w:hAnsi="宋体" w:eastAsia="方正小标宋简体" w:cs="方正小标宋简体"/>
          <w:b w:val="0"/>
          <w:bCs/>
          <w:i w:val="0"/>
          <w:caps w:val="0"/>
          <w:color w:val="000000"/>
          <w:spacing w:val="0"/>
          <w:w w:val="100"/>
          <w:kern w:val="2"/>
          <w:sz w:val="44"/>
          <w:szCs w:val="44"/>
          <w:lang w:val="en-US" w:eastAsia="zh-CN" w:bidi="ar-SA"/>
        </w:rPr>
        <w:t>通知</w:t>
      </w: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left"/>
        <w:textAlignment w:val="baseline"/>
        <w:rPr>
          <w:rStyle w:val="10"/>
          <w:rFonts w:ascii="宋体" w:hAnsi="宋体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10"/>
          <w:rFonts w:hint="eastAsia" w:ascii="宋体" w:hAnsi="宋体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各县（市、区）文广新旅局、财政局</w:t>
      </w:r>
      <w:r>
        <w:rPr>
          <w:rStyle w:val="10"/>
          <w:rFonts w:ascii="宋体" w:hAnsi="宋体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baseline"/>
        <w:rPr>
          <w:rStyle w:val="10"/>
          <w:rFonts w:hint="eastAsia" w:ascii="宋体" w:hAnsi="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10"/>
          <w:rFonts w:hint="eastAsia" w:ascii="宋体" w:hAnsi="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经市政府同意，现将《</w:t>
      </w:r>
      <w:r>
        <w:rPr>
          <w:rStyle w:val="10"/>
          <w:rFonts w:hint="default" w:ascii="宋体" w:hAnsi="宋体" w:eastAsia="仿宋_GB2312" w:cs="Times New Roman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江西</w:t>
      </w:r>
      <w:r>
        <w:rPr>
          <w:rStyle w:val="10"/>
          <w:rFonts w:hint="eastAsia" w:ascii="宋体" w:hAnsi="宋体" w:eastAsia="仿宋_GB2312" w:cs="Times New Roman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“百县百日”文旅消费季赣州分会场文旅消费</w:t>
      </w:r>
      <w:r>
        <w:rPr>
          <w:rStyle w:val="10"/>
          <w:rFonts w:hint="default" w:ascii="宋体" w:hAnsi="宋体" w:eastAsia="仿宋_GB2312" w:cs="Times New Roman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活动</w:t>
      </w:r>
      <w:r>
        <w:rPr>
          <w:rStyle w:val="10"/>
          <w:rFonts w:hint="eastAsia" w:ascii="宋体" w:hAnsi="宋体" w:eastAsia="仿宋_GB2312" w:cs="Times New Roman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方案</w:t>
      </w:r>
      <w:r>
        <w:rPr>
          <w:rStyle w:val="10"/>
          <w:rFonts w:hint="eastAsia" w:ascii="宋体" w:hAnsi="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》印发给你们，认真遵照执行。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baseline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1918" w:leftChars="304" w:hanging="1280" w:hangingChars="400"/>
        <w:jc w:val="both"/>
        <w:textAlignment w:val="baseline"/>
        <w:rPr>
          <w:rStyle w:val="10"/>
          <w:rFonts w:hint="eastAsia" w:ascii="宋体" w:hAnsi="宋体" w:eastAsia="仿宋_GB2312" w:cs="Times New Roman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10"/>
          <w:rFonts w:ascii="宋体" w:hAnsi="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附件：</w:t>
      </w:r>
      <w:r>
        <w:rPr>
          <w:rStyle w:val="10"/>
          <w:rFonts w:hint="eastAsia" w:ascii="宋体" w:hAnsi="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《</w:t>
      </w:r>
      <w:r>
        <w:rPr>
          <w:rStyle w:val="10"/>
          <w:rFonts w:hint="default" w:ascii="宋体" w:hAnsi="宋体" w:eastAsia="仿宋_GB2312" w:cs="Times New Roman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江西</w:t>
      </w:r>
      <w:r>
        <w:rPr>
          <w:rStyle w:val="10"/>
          <w:rFonts w:hint="eastAsia" w:ascii="宋体" w:hAnsi="宋体" w:eastAsia="仿宋_GB2312" w:cs="Times New Roman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“百县百日”文旅消费季赣州分会场文旅消费</w:t>
      </w:r>
      <w:r>
        <w:rPr>
          <w:rStyle w:val="10"/>
          <w:rFonts w:hint="default" w:ascii="宋体" w:hAnsi="宋体" w:eastAsia="仿宋_GB2312" w:cs="Times New Roman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活动</w:t>
      </w:r>
      <w:r>
        <w:rPr>
          <w:rStyle w:val="10"/>
          <w:rFonts w:hint="eastAsia" w:ascii="宋体" w:hAnsi="宋体" w:eastAsia="仿宋_GB2312" w:cs="Times New Roman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方案</w:t>
      </w:r>
      <w:r>
        <w:rPr>
          <w:rStyle w:val="10"/>
          <w:rFonts w:hint="eastAsia" w:ascii="宋体" w:hAnsi="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》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baseline"/>
        <w:rPr>
          <w:rStyle w:val="10"/>
          <w:rFonts w:hint="eastAsia" w:ascii="宋体" w:hAnsi="宋体" w:eastAsia="仿宋_GB2312" w:cs="Times New Roman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320" w:firstLineChars="100"/>
        <w:jc w:val="both"/>
        <w:textAlignment w:val="baseline"/>
        <w:rPr>
          <w:rStyle w:val="10"/>
          <w:rFonts w:hint="default" w:ascii="宋体" w:hAnsi="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" w:eastAsia="zh-CN" w:bidi="ar-SA"/>
        </w:rPr>
      </w:pPr>
      <w:r>
        <w:rPr>
          <w:rStyle w:val="10"/>
          <w:rFonts w:ascii="宋体" w:hAnsi="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赣州市文化广电新闻出版旅游局</w:t>
      </w:r>
      <w:r>
        <w:rPr>
          <w:rStyle w:val="10"/>
          <w:rFonts w:hint="eastAsia" w:ascii="宋体" w:hAnsi="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 xml:space="preserve">        赣州市财政局</w:t>
      </w:r>
      <w:r>
        <w:rPr>
          <w:rStyle w:val="10"/>
          <w:rFonts w:hint="default" w:ascii="宋体" w:hAnsi="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" w:eastAsia="zh-CN" w:bidi="ar-SA"/>
        </w:rPr>
        <w:t xml:space="preserve">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baseline"/>
        <w:rPr>
          <w:rStyle w:val="10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10"/>
          <w:rFonts w:hint="default" w:ascii="宋体" w:hAnsi="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" w:eastAsia="zh-CN" w:bidi="ar-SA"/>
        </w:rPr>
        <w:t xml:space="preserve">                </w:t>
      </w:r>
      <w:r>
        <w:rPr>
          <w:rStyle w:val="10"/>
          <w:rFonts w:hint="eastAsia" w:ascii="宋体" w:hAnsi="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 xml:space="preserve">                 </w:t>
      </w:r>
      <w:r>
        <w:rPr>
          <w:rStyle w:val="10"/>
          <w:rFonts w:hint="default" w:ascii="宋体" w:hAnsi="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" w:eastAsia="zh-CN" w:bidi="ar-SA"/>
        </w:rPr>
        <w:t xml:space="preserve">  </w:t>
      </w:r>
      <w:r>
        <w:rPr>
          <w:rStyle w:val="10"/>
          <w:rFonts w:ascii="宋体" w:hAnsi="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2021年</w:t>
      </w:r>
      <w:r>
        <w:rPr>
          <w:rStyle w:val="10"/>
          <w:rFonts w:hint="eastAsia" w:ascii="宋体" w:hAnsi="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11</w:t>
      </w:r>
      <w:r>
        <w:rPr>
          <w:rStyle w:val="10"/>
          <w:rFonts w:ascii="宋体" w:hAnsi="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月</w:t>
      </w:r>
      <w:r>
        <w:rPr>
          <w:rStyle w:val="10"/>
          <w:rFonts w:hint="eastAsia" w:ascii="宋体" w:hAnsi="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3</w:t>
      </w:r>
      <w:r>
        <w:rPr>
          <w:rStyle w:val="10"/>
          <w:rFonts w:ascii="宋体" w:hAnsi="宋体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日</w:t>
      </w:r>
    </w:p>
    <w:p>
      <w:pPr>
        <w:keepLines w:val="0"/>
        <w:widowControl w:val="0"/>
        <w:snapToGrid/>
        <w:spacing w:before="0" w:beforeAutospacing="0" w:after="0" w:afterAutospacing="0" w:line="560" w:lineRule="exact"/>
        <w:jc w:val="left"/>
        <w:textAlignment w:val="baseline"/>
        <w:rPr>
          <w:rStyle w:val="10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keepLines w:val="0"/>
        <w:widowControl w:val="0"/>
        <w:snapToGrid/>
        <w:spacing w:before="0" w:beforeAutospacing="0" w:after="0" w:afterAutospacing="0" w:line="560" w:lineRule="exact"/>
        <w:jc w:val="left"/>
        <w:textAlignment w:val="baseline"/>
        <w:rPr>
          <w:rStyle w:val="10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keepLines w:val="0"/>
        <w:widowControl w:val="0"/>
        <w:snapToGrid/>
        <w:spacing w:before="0" w:beforeAutospacing="0" w:after="0" w:afterAutospacing="0" w:line="560" w:lineRule="exact"/>
        <w:jc w:val="left"/>
        <w:textAlignment w:val="baseline"/>
        <w:rPr>
          <w:rStyle w:val="10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keepLines w:val="0"/>
        <w:widowControl w:val="0"/>
        <w:snapToGrid/>
        <w:spacing w:before="0" w:beforeAutospacing="0" w:after="0" w:afterAutospacing="0" w:line="560" w:lineRule="exact"/>
        <w:jc w:val="left"/>
        <w:textAlignment w:val="baseline"/>
        <w:rPr>
          <w:rStyle w:val="10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keepLines w:val="0"/>
        <w:widowControl w:val="0"/>
        <w:snapToGrid/>
        <w:spacing w:before="0" w:beforeAutospacing="0" w:after="0" w:afterAutospacing="0" w:line="560" w:lineRule="exact"/>
        <w:jc w:val="left"/>
        <w:textAlignment w:val="baseline"/>
        <w:rPr>
          <w:rStyle w:val="10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keepLines w:val="0"/>
        <w:widowControl w:val="0"/>
        <w:snapToGrid/>
        <w:spacing w:before="0" w:beforeAutospacing="0" w:after="0" w:afterAutospacing="0" w:line="560" w:lineRule="exact"/>
        <w:jc w:val="left"/>
        <w:textAlignment w:val="baseline"/>
        <w:rPr>
          <w:rStyle w:val="10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keepLines w:val="0"/>
        <w:widowControl w:val="0"/>
        <w:snapToGrid/>
        <w:spacing w:before="0" w:beforeAutospacing="0" w:after="0" w:afterAutospacing="0" w:line="560" w:lineRule="exact"/>
        <w:jc w:val="left"/>
        <w:textAlignment w:val="baseline"/>
        <w:rPr>
          <w:rStyle w:val="10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keepLines w:val="0"/>
        <w:widowControl w:val="0"/>
        <w:snapToGrid/>
        <w:spacing w:before="0" w:beforeAutospacing="0" w:after="0" w:afterAutospacing="0" w:line="560" w:lineRule="exact"/>
        <w:jc w:val="left"/>
        <w:textAlignment w:val="baseline"/>
        <w:rPr>
          <w:rStyle w:val="10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keepLines w:val="0"/>
        <w:widowControl w:val="0"/>
        <w:snapToGrid/>
        <w:spacing w:before="0" w:beforeAutospacing="0" w:after="0" w:afterAutospacing="0" w:line="560" w:lineRule="exact"/>
        <w:jc w:val="left"/>
        <w:textAlignment w:val="baseline"/>
        <w:rPr>
          <w:rStyle w:val="10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keepLines w:val="0"/>
        <w:widowControl w:val="0"/>
        <w:snapToGrid/>
        <w:spacing w:before="0" w:beforeAutospacing="0" w:after="0" w:afterAutospacing="0" w:line="560" w:lineRule="exact"/>
        <w:jc w:val="left"/>
        <w:textAlignment w:val="baseline"/>
        <w:rPr>
          <w:rStyle w:val="10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keepLines w:val="0"/>
        <w:widowControl w:val="0"/>
        <w:snapToGrid/>
        <w:spacing w:before="0" w:beforeAutospacing="0" w:after="0" w:afterAutospacing="0" w:line="560" w:lineRule="exact"/>
        <w:jc w:val="left"/>
        <w:textAlignment w:val="baseline"/>
        <w:rPr>
          <w:rStyle w:val="10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keepLines w:val="0"/>
        <w:widowControl w:val="0"/>
        <w:snapToGrid/>
        <w:spacing w:before="0" w:beforeAutospacing="0" w:after="0" w:afterAutospacing="0" w:line="560" w:lineRule="exact"/>
        <w:jc w:val="left"/>
        <w:textAlignment w:val="baseline"/>
        <w:rPr>
          <w:rStyle w:val="10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keepLines w:val="0"/>
        <w:widowControl w:val="0"/>
        <w:snapToGrid/>
        <w:spacing w:before="0" w:beforeAutospacing="0" w:after="0" w:afterAutospacing="0" w:line="560" w:lineRule="exact"/>
        <w:jc w:val="left"/>
        <w:textAlignment w:val="baseline"/>
        <w:rPr>
          <w:rStyle w:val="10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keepLines w:val="0"/>
        <w:widowControl w:val="0"/>
        <w:snapToGrid/>
        <w:spacing w:before="0" w:beforeAutospacing="0" w:after="0" w:afterAutospacing="0" w:line="560" w:lineRule="exact"/>
        <w:jc w:val="left"/>
        <w:textAlignment w:val="baseline"/>
        <w:rPr>
          <w:rStyle w:val="10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keepLines w:val="0"/>
        <w:widowControl w:val="0"/>
        <w:snapToGrid/>
        <w:spacing w:before="0" w:beforeAutospacing="0" w:after="0" w:afterAutospacing="0" w:line="560" w:lineRule="exact"/>
        <w:jc w:val="left"/>
        <w:textAlignment w:val="baseline"/>
        <w:rPr>
          <w:rStyle w:val="10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keepLines w:val="0"/>
        <w:widowControl w:val="0"/>
        <w:snapToGrid/>
        <w:spacing w:before="0" w:beforeAutospacing="0" w:after="0" w:afterAutospacing="0" w:line="560" w:lineRule="exact"/>
        <w:jc w:val="left"/>
        <w:textAlignment w:val="baseline"/>
        <w:rPr>
          <w:rStyle w:val="10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keepLines w:val="0"/>
        <w:widowControl w:val="0"/>
        <w:snapToGrid/>
        <w:spacing w:before="0" w:beforeAutospacing="0" w:after="0" w:afterAutospacing="0" w:line="560" w:lineRule="exact"/>
        <w:jc w:val="left"/>
        <w:textAlignment w:val="baseline"/>
        <w:rPr>
          <w:rStyle w:val="10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keepLines w:val="0"/>
        <w:widowControl w:val="0"/>
        <w:snapToGrid/>
        <w:spacing w:before="0" w:beforeAutospacing="0" w:after="0" w:afterAutospacing="0" w:line="560" w:lineRule="exact"/>
        <w:jc w:val="left"/>
        <w:textAlignment w:val="baseline"/>
        <w:rPr>
          <w:rStyle w:val="10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keepLines w:val="0"/>
        <w:widowControl w:val="0"/>
        <w:snapToGrid/>
        <w:spacing w:before="0" w:beforeAutospacing="0" w:after="0" w:afterAutospacing="0" w:line="560" w:lineRule="exact"/>
        <w:jc w:val="left"/>
        <w:textAlignment w:val="baseline"/>
        <w:rPr>
          <w:rStyle w:val="10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keepLines w:val="0"/>
        <w:widowControl w:val="0"/>
        <w:snapToGrid/>
        <w:spacing w:before="0" w:beforeAutospacing="0" w:after="0" w:afterAutospacing="0" w:line="560" w:lineRule="exact"/>
        <w:jc w:val="left"/>
        <w:textAlignment w:val="baseline"/>
        <w:rPr>
          <w:rStyle w:val="10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</w:p>
    <w:tbl>
      <w:tblPr>
        <w:tblStyle w:val="7"/>
        <w:tblpPr w:leftFromText="180" w:rightFromText="180" w:vertAnchor="text" w:horzAnchor="page" w:tblpX="1660" w:tblpY="953"/>
        <w:tblOverlap w:val="never"/>
        <w:tblW w:w="8844" w:type="dxa"/>
        <w:tblInd w:w="0" w:type="dxa"/>
        <w:tblBorders>
          <w:top w:val="single" w:color="auto" w:sz="6" w:space="0"/>
          <w:left w:val="none" w:color="auto" w:sz="0" w:space="0"/>
          <w:bottom w:val="single" w:color="auto" w:sz="6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4"/>
      </w:tblGrid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赣州市文化广电新闻出版旅游局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eastAsia="zh-CN"/>
              </w:rPr>
              <w:t>办公室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20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年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月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日印发</w:t>
            </w:r>
          </w:p>
        </w:tc>
      </w:tr>
    </w:tbl>
    <w:p>
      <w:pPr>
        <w:keepLines w:val="0"/>
        <w:widowControl w:val="0"/>
        <w:snapToGrid/>
        <w:spacing w:before="0" w:beforeAutospacing="0" w:after="0" w:afterAutospacing="0" w:line="560" w:lineRule="exact"/>
        <w:jc w:val="left"/>
        <w:textAlignment w:val="baseline"/>
        <w:rPr>
          <w:rStyle w:val="10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keepLines w:val="0"/>
        <w:widowControl w:val="0"/>
        <w:snapToGrid/>
        <w:spacing w:before="0" w:beforeAutospacing="0" w:after="0" w:afterAutospacing="0" w:line="560" w:lineRule="exact"/>
        <w:jc w:val="left"/>
        <w:textAlignment w:val="baseline"/>
        <w:rPr>
          <w:rStyle w:val="10"/>
          <w:rFonts w:hint="eastAsia" w:ascii="黑体" w:hAnsi="黑体" w:eastAsia="黑体" w:cs="黑体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10"/>
          <w:rFonts w:hint="eastAsia" w:ascii="黑体" w:hAnsi="黑体" w:eastAsia="黑体" w:cs="黑体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附件</w:t>
      </w:r>
    </w:p>
    <w:p>
      <w:pPr>
        <w:pStyle w:val="2"/>
        <w:rPr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江西“百县百日”文旅消费季赣州分会场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文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旅消费活动方案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</w:pPr>
    </w:p>
    <w:p>
      <w:pPr>
        <w:widowControl w:val="0"/>
        <w:ind w:firstLine="64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一、活动背景及目的</w:t>
      </w:r>
    </w:p>
    <w:p>
      <w:pPr>
        <w:widowControl w:val="0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贯彻落实江西“百县百日”文旅消费季活动要求，根据市政府第97次常务会会议精神，在做旺国庆黄金周文旅商贸消费的基础上，进一步加速推动消费，扩大内需，引导市民游客在严格落实疫情防控措施的条件下，开展健康、安全地旅游打卡、商贸消费，进一步提振文旅商贸行业的信心，拟继续从市本级文旅发展专项资金中安排1000万元用于开展文旅消费活动，助力江西“百县百日”文旅消费季。</w:t>
      </w:r>
    </w:p>
    <w:p>
      <w:pPr>
        <w:widowControl w:val="0"/>
        <w:ind w:firstLine="64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二、活动主题</w:t>
      </w:r>
    </w:p>
    <w:p>
      <w:pPr>
        <w:widowControl w:val="0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“百县百日”文旅消费季·千万福利大派送 </w:t>
      </w:r>
    </w:p>
    <w:p>
      <w:pPr>
        <w:widowControl w:val="0"/>
        <w:ind w:firstLine="64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三、活动时间</w:t>
      </w:r>
    </w:p>
    <w:p>
      <w:pPr>
        <w:widowControl w:val="0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1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年11月-12月</w:t>
      </w:r>
    </w:p>
    <w:p>
      <w:pPr>
        <w:widowControl w:val="0"/>
        <w:ind w:firstLine="64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四、活动安排</w:t>
      </w:r>
    </w:p>
    <w:p>
      <w:pPr>
        <w:widowControl w:val="0"/>
        <w:ind w:firstLine="640"/>
        <w:jc w:val="both"/>
        <w:textAlignment w:val="auto"/>
        <w:rPr>
          <w:rFonts w:hint="default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（一）推出“脐橙+游乐购”消费抵扣券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（拟发放20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" w:eastAsia="zh-CN"/>
        </w:rPr>
        <w:t>000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份，合计400万元）。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结合江西“百县百日”文旅消费季和赣南脐橙采摘旅游季活动，突出脐橙+旅游景区、酒店、美食、购物、商超等，用户通过江西赣州文旅等推广渠道，进入活动主题页面，可领取电子消费券。消费券价值200元：含100元脐橙采摘季旅游消费券（分为20、30、50元各一张），凭消费抵扣券可以到指定脐橙采摘园、景区、酒店、餐饮店、旅游购物店无门槛抵扣使用；商超券100元，凭消费抵扣券到指定商超消费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使用规则为满200减100元。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2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（二）推出助力直播带货大赛消费金（总计600万元）。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照“百县百日”文旅消费季直播带货大赛规则，大赛分为10月28日摸底排位赛、11月11日交叉淘汰赛、11月25日下位淘汰赛、12月3日抢位淘汰赛和12月12日巅峰王者赛五个部分进行，均为高序位PK低序位，最终以直播销售金额总数作为排名及晋级依据。为助力赣州文旅直播带货大赛品牌输出，推动线上线下同时发力，激励各县(市、区)踊跃争先，企业积极让利，将600万元消费金按照赛事阶段，从交叉淘汰赛开始，分别安排148万元、132万元、182万元、138万元，按每场次情况投放至各县（市、区）直播间，作为消费者在直播间购买产品抵扣券、抽奖券，促进赣州文旅产品售卖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1.摸底排位赛后，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100万元平均分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配给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排位全省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50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名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的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县（市、区）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另48万元平均分配给排位全市前6名的县（市、区），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参加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交叉淘汰赛；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100万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元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平均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分配给参加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下位淘汰赛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的县（市、区）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另32万元平均分配给参加下位淘汰赛全市前4名的县（市、区）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150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平均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分配给参加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抢位淘汰赛的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县（市、区）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另32万元平均分配给每组参赛的全市前2名的县（市、区）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138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平均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分配给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参加</w:t>
      </w:r>
      <w:r>
        <w:rPr>
          <w:rFonts w:hint="default" w:ascii="仿宋_GB2312" w:hAnsi="仿宋_GB2312" w:eastAsia="仿宋_GB2312" w:cs="仿宋_GB2312"/>
          <w:sz w:val="32"/>
          <w:szCs w:val="32"/>
          <w:lang w:val="en"/>
        </w:rPr>
        <w:t>巅峰王者赛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的县（市、区）</w:t>
      </w:r>
      <w:r>
        <w:rPr>
          <w:rFonts w:hint="default" w:ascii="仿宋_GB2312" w:hAnsi="仿宋_GB2312" w:eastAsia="仿宋_GB2312" w:cs="仿宋_GB2312"/>
          <w:sz w:val="32"/>
          <w:szCs w:val="32"/>
          <w:lang w:val="en"/>
        </w:rPr>
        <w:t>。</w:t>
      </w:r>
    </w:p>
    <w:p>
      <w:pPr>
        <w:widowControl w:val="0"/>
        <w:ind w:firstLine="64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五、有关事项</w:t>
      </w:r>
    </w:p>
    <w:p>
      <w:pPr>
        <w:widowControl w:val="0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（一）“脐橙+游乐购”消费券从11月15日开始每天上午10点通过赣智旅微信小程序发放，连续发放 5天，每天4000份，共计20000份，发完为止。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若当前时段消费券未领完，则自动划拨到下一时段进行领取。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每个用户仅可领取一次。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指定消费商家由各县（市、区）文广新旅局牵头商商务局、果业局提供有关商家名单。消费券使用期限截止到2021年12月12日，过期未用自动失效。</w:t>
      </w:r>
    </w:p>
    <w:p>
      <w:pPr>
        <w:widowControl w:val="0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（二）各县（市、区）需对发放在本县的助力直播带货大赛消费金</w:t>
      </w:r>
      <w:r>
        <w:rPr>
          <w:rFonts w:hint="default" w:ascii="仿宋_GB2312" w:hAnsi="仿宋_GB2312" w:eastAsia="仿宋_GB2312" w:cs="仿宋_GB2312"/>
          <w:sz w:val="32"/>
          <w:szCs w:val="32"/>
          <w:lang w:val="en"/>
        </w:rPr>
        <w:t>严格资金管理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，消费金仅限用于大赛期间直播间对消费者的让利和抽奖，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市本级共安排600万元助力各县（市、区）活动开展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。各县（市、区）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安排资金并出台配套政策及操作办法，支持促进消费产品售卖，具体政策措施需向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市文广新旅局报备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同意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。</w:t>
      </w:r>
    </w:p>
    <w:p>
      <w:pPr>
        <w:widowControl w:val="0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（三）市文广新旅局加强对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消费券、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消费金发放的指导和管理，市、县组织对商家核销的消费券、直播间抵扣的消费金进行核定，按程序兑付。</w:t>
      </w:r>
    </w:p>
    <w:p>
      <w:pPr>
        <w:widowControl w:val="0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（四）市、县两级要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形成宣传矩阵，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加大对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“百县百日”文旅消费季·千万福利大派送活动的宣传推广，提升活动热度，提高商家和市民游客参与度，扩大消费季活动成果。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pStyle w:val="2"/>
        <w:tabs>
          <w:tab w:val="left" w:pos="1939"/>
        </w:tabs>
        <w:ind w:left="0" w:leftChars="0" w:firstLine="0" w:firstLineChars="0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pStyle w:val="2"/>
        <w:tabs>
          <w:tab w:val="left" w:pos="1939"/>
        </w:tabs>
        <w:ind w:left="0" w:leftChars="0" w:firstLine="0" w:firstLineChars="0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pStyle w:val="2"/>
        <w:tabs>
          <w:tab w:val="left" w:pos="1873"/>
        </w:tabs>
        <w:ind w:left="0" w:leftChars="0" w:firstLine="0" w:firstLineChars="0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pStyle w:val="2"/>
        <w:tabs>
          <w:tab w:val="left" w:pos="1873"/>
        </w:tabs>
        <w:ind w:left="0" w:leftChars="0" w:firstLine="0" w:firstLineChars="0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pStyle w:val="2"/>
        <w:tabs>
          <w:tab w:val="left" w:pos="1873"/>
        </w:tabs>
        <w:ind w:left="0" w:leftChars="0" w:firstLine="0" w:firstLineChars="0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pStyle w:val="2"/>
        <w:tabs>
          <w:tab w:val="left" w:pos="1873"/>
        </w:tabs>
        <w:ind w:left="0" w:leftChars="0" w:firstLine="0" w:firstLineChars="0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pStyle w:val="2"/>
        <w:tabs>
          <w:tab w:val="left" w:pos="1873"/>
        </w:tabs>
        <w:ind w:left="0" w:leftChars="0" w:firstLine="0" w:firstLineChars="0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pStyle w:val="2"/>
        <w:tabs>
          <w:tab w:val="left" w:pos="1873"/>
        </w:tabs>
        <w:ind w:left="0" w:leftChars="0" w:firstLine="0" w:firstLineChars="0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left="0" w:leftChars="0" w:firstLine="0" w:firstLineChars="0"/>
        <w:rPr>
          <w:rFonts w:ascii="宋体" w:hAnsi="宋体"/>
          <w:lang w:val="en-US" w:eastAsia="zh-CN"/>
        </w:rPr>
      </w:pPr>
    </w:p>
    <w:sectPr>
      <w:footerReference r:id="rId3" w:type="default"/>
      <w:type w:val="continuous"/>
      <w:pgSz w:w="11906" w:h="16838"/>
      <w:pgMar w:top="2098" w:right="1587" w:bottom="1984" w:left="1587" w:header="851" w:footer="992" w:gutter="0"/>
      <w:lnNumType w:countBy="0"/>
      <w:pgNumType w:fmt="decimal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7A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080E0000" w:usb2="00000000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176IwHQIAACkEAAAOAAAAZHJz&#10;L2Uyb0RvYy54bWytU82O0zAQviPxDpbvNGkrVlXVdFV2VYRUsSstiLPr2E0kx7Zst0l5AHgDTly4&#10;81x9jv3sJi0CToiLPeMZz8833yxuu0aRg3C+Nrqg41FOidDclLXeFfTjh/WrGSU+MF0yZbQo6FF4&#10;ert8+WLR2rmYmMqoUjiCINrPW1vQKgQ7zzLPK9EwPzJWaBilcQ0LUN0uKx1rEb1R2STPb7LWuNI6&#10;w4X3eL0/G+kyxZdS8PAgpReBqIKitpBOl85tPLPlgs13jtmq5n0Z7B+qaFitkfQS6p4FRvau/iNU&#10;U3NnvJFhxE2TGSlrLlIP6Gac/9bNU8WsSL0AHG8vMPn/F5a/Pzw6UpcFnVKiWYMRnb59PX3/efrx&#10;hUwjPK31c3g9WfiF7o3pChrcXgwmj/fYeCddE2+0ROACrI8XfEUXCMfjeDaZzXKYOGyDghTZ9bt1&#10;PrwVpiFRKKjDABOu7LDx4ew6uMRs2qxrpdIQlSZtQW+mr/P04WJBcKWRI/ZxLjZKodt2fXNbUx7R&#10;mzNncnjL1zWSb5gPj8yBDSgYDA8POKQySGJ6iZLKuM9/e4/+GBKslLRgV0E16E+JeqcxvEjEQXCD&#10;sB0EvW/uDOg6xuZYnkR8cEENonSm+QTar2IOyZRHYKY5smE0g3gXoPVGrA8Xq9VF31tX76rrZ1DR&#10;srDRT5b3w43YervaB+CbYI+YnYHqoQQf0+D63YmE/1VPXtcNXz4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FgAAAGRycy9QSwECFAAUAAAA&#10;CACHTuJAs0lY7tAAAAAFAQAADwAAAAAAAAABACAAAAA4AAAAZHJzL2Rvd25yZXYueG1sUEsBAhQA&#10;FAAAAAgAh07iQPXvojAdAgAAKQQAAA4AAAAAAAAAAQAgAAAAN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  <w:widowControl/>
      <w:snapToGrid w:val="0"/>
      <w:jc w:val="left"/>
      <w:textAlignment w:val="baseline"/>
      <w:rPr>
        <w:rStyle w:val="10"/>
        <w:rFonts w:ascii="Calibri" w:hAnsi="Calibri"/>
        <w:kern w:val="2"/>
        <w:sz w:val="18"/>
        <w:szCs w:val="22"/>
        <w:lang w:val="en-US" w:eastAsia="zh-CN" w:bidi="ar-SA"/>
      </w:rPr>
    </w:pPr>
    <w:r>
      <w:rPr>
        <w:rStyle w:val="10"/>
        <w:rFonts w:ascii="Calibri" w:hAnsi="Calibri"/>
        <w:kern w:val="2"/>
        <w:sz w:val="18"/>
        <w:szCs w:val="22"/>
        <w:lang w:val="en-US" w:eastAsia="zh-CN" w:bidi="ar-SA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widowControl/>
                            <w:snapToGrid w:val="0"/>
                            <w:jc w:val="left"/>
                            <w:textAlignment w:val="baseline"/>
                            <w:rPr>
                              <w:rStyle w:val="10"/>
                              <w:rFonts w:ascii="Calibri" w:hAnsi="Calibri" w:eastAsia="宋体"/>
                              <w:kern w:val="2"/>
                              <w:sz w:val="18"/>
                              <w:szCs w:val="22"/>
                              <w:lang w:val="en-US" w:eastAsia="zh-CN" w:bidi="ar-SA"/>
                            </w:rPr>
                          </w:pPr>
                        </w:p>
                        <w:p>
                          <w:pPr>
                            <w:widowControl/>
                            <w:textAlignment w:val="baseline"/>
                            <w:rPr>
                              <w:rStyle w:val="17"/>
                              <w:rFonts w:ascii="Calibri" w:hAnsi="Calibri"/>
                              <w:kern w:val="2"/>
                              <w:sz w:val="21"/>
                              <w:szCs w:val="22"/>
                              <w:lang w:val="en-US" w:eastAsia="zh-CN" w:bidi="ar-SA"/>
                            </w:rPr>
                          </w:pPr>
                        </w:p>
                      </w:txbxContent>
                    </wps:txbx>
                    <wps:bodyPr lIns="0" tIns="0" rIns="0" bIns="0" anchor="t" upright="true"/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z-index:251659264;mso-width-relative:page;mso-height-relative:page;" filled="f" stroked="f" coordsize="21600,21600" o:gfxdata="UEsFBgAAAAAAAAAAAAAAAAAAAAAAAFBLAwQKAAAAAACHTuJAAAAAAAAAAAAAAAAABAAAAGRycy9Q&#10;SwMEFAAAAAgAh07iQFmtmPLTAAAABQEAAA8AAABkcnMvZG93bnJldi54bWxNj09Lw0AQxe+C32EZ&#10;wZvdtAdJYzZF/EM92lao3rbZMQnuzobstKl++o4i6GWYxxve/F65OAavDjikLpKB6SQDhVRH11Fj&#10;4GXzeJWDSmzJWR8JDXxigkV1flbawsWRVnhYc6MkhFJhDbTMfaF1qlsMNk1ijyTeexyCZZFDo91g&#10;RwkPXs+y7FoH25F8aG2Pdy3WH+t9MLDM+9vXp/g1Nv7hbbl93s7vN3M25vJimt2AYjzy3zF84ws6&#10;VMK0i3tySXkDUoR/pnizPBe5+110Ver/9NUJUEsDBBQAAAAIAIdO4kDn0fcAngEAACEDAAAOAAAA&#10;ZHJzL2Uyb0RvYy54bWytUktuGzEM3RfIHQTtY42NoHUHHmcTJAhQNAGSHEDWSB4B+oGSPeMLNDfo&#10;Kpvsey6fo5TscYpmF2TDIUXO4+MjF5eDNWQrIWrvGjqdVJRIJ3yr3bqhT4/X53NKYuKu5cY72dCd&#10;jPRyefZl0YdaznznTSuBIIiLdR8a2qUUasai6KTlceKDdJhUHixPGMKatcB7RLeGzarqK+s9tAG8&#10;kDHi69UhSZcFXykp0p1SUSZiGorcUrFQ7Cpbtlzweg08dFocafAPsLBcO2x6grriiZMN6HdQVgvw&#10;0as0Ed4yr5QWssyA00yr/6Z56HiQZRYUJ4aTTPHzYMXP7T0Q3Tb0ovr+jRLHLW5p//t5//Jn//qL&#10;TLNCfYg1Fj6EezhGEd087qDA5i8OQoai6u6kqhwSEfg4nc/m8wrFF5gbA8Rhb78HiOlGekuy01DA&#10;tRU1+fZHTIfSsSR3My5b56+1MYdsfmGZ5oFY9tKwGo5sV77d4ZTm1qFy+QpGB0ZnNTrcic7jfSRK&#10;NgH0ukM6CTYyy1Aa4B4K9ePN5EX/G5eqt8te/gV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WAAAAZHJzL1BLAQIUABQAAAAIAIdO4kBZrZjy&#10;0wAAAAUBAAAPAAAAAAAAAAEAIAAAADgAAABkcnMvZG93bnJldi54bWxQSwECFAAUAAAACACHTuJA&#10;59H3AJ4BAAAhAwAADgAAAAAAAAABACAAAAA4AQAAZHJzL2Uyb0RvYy54bWxQSwUGAAAAAAYABgBZ&#10;AQAAS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4"/>
                      <w:widowControl/>
                      <w:snapToGrid w:val="0"/>
                      <w:jc w:val="left"/>
                      <w:textAlignment w:val="baseline"/>
                      <w:rPr>
                        <w:rStyle w:val="10"/>
                        <w:rFonts w:ascii="Calibri" w:hAnsi="Calibri" w:eastAsia="宋体"/>
                        <w:kern w:val="2"/>
                        <w:sz w:val="18"/>
                        <w:szCs w:val="22"/>
                        <w:lang w:val="en-US" w:eastAsia="zh-CN" w:bidi="ar-SA"/>
                      </w:rPr>
                    </w:pPr>
                  </w:p>
                  <w:p>
                    <w:pPr>
                      <w:widowControl/>
                      <w:textAlignment w:val="baseline"/>
                      <w:rPr>
                        <w:rStyle w:val="17"/>
                        <w:rFonts w:ascii="Calibri" w:hAnsi="Calibri"/>
                        <w:kern w:val="2"/>
                        <w:sz w:val="21"/>
                        <w:szCs w:val="22"/>
                        <w:lang w:val="en-US" w:eastAsia="zh-CN" w:bidi="ar-SA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HorizontalSpacing w:val="96"/>
  <w:drawingGridVerticalSpacing w:val="144"/>
  <w:displayHorizontalDrawingGridEvery w:val="1"/>
  <w:displayVerticalDrawingGridEvery w:val="1"/>
  <w:doNotUseMarginsForDrawingGridOrigin w:val="true"/>
  <w:drawingGridHorizontalOrigin w:val="1800"/>
  <w:drawingGridVerticalOrigin w:val="1440"/>
  <w:noPunctuationKerning w:val="true"/>
  <w:compat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A0FAE"/>
    <w:rsid w:val="0A4168FA"/>
    <w:rsid w:val="1154726E"/>
    <w:rsid w:val="193B450A"/>
    <w:rsid w:val="20987496"/>
    <w:rsid w:val="3E4750E1"/>
    <w:rsid w:val="3F7EBBB3"/>
    <w:rsid w:val="42D97288"/>
    <w:rsid w:val="454C2B10"/>
    <w:rsid w:val="4F36B382"/>
    <w:rsid w:val="55482280"/>
    <w:rsid w:val="5A7B166D"/>
    <w:rsid w:val="5D3FF1FE"/>
    <w:rsid w:val="5F5B6E43"/>
    <w:rsid w:val="6B1B07C9"/>
    <w:rsid w:val="6DBD33B3"/>
    <w:rsid w:val="6DFFE39B"/>
    <w:rsid w:val="72794695"/>
    <w:rsid w:val="74FACE83"/>
    <w:rsid w:val="77DE866B"/>
    <w:rsid w:val="7BB40233"/>
    <w:rsid w:val="7C394884"/>
    <w:rsid w:val="7FDFFF25"/>
    <w:rsid w:val="DDBBA91C"/>
    <w:rsid w:val="DF53E458"/>
    <w:rsid w:val="DF7E6CAF"/>
    <w:rsid w:val="F5FF0F26"/>
    <w:rsid w:val="F7670E98"/>
    <w:rsid w:val="FD3BE7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Calibri" w:hAnsi="Calibri" w:eastAsia="等线" w:cs="宋体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"/>
    <w:basedOn w:val="3"/>
    <w:qFormat/>
    <w:uiPriority w:val="0"/>
    <w:pPr>
      <w:spacing w:after="120"/>
      <w:ind w:firstLine="420" w:firstLineChars="100"/>
      <w:jc w:val="both"/>
      <w:textAlignment w:val="baseline"/>
    </w:pPr>
  </w:style>
  <w:style w:type="paragraph" w:customStyle="1" w:styleId="3">
    <w:name w:val="BodyText"/>
    <w:basedOn w:val="1"/>
    <w:qFormat/>
    <w:uiPriority w:val="0"/>
    <w:pPr>
      <w:spacing w:after="120"/>
      <w:jc w:val="both"/>
      <w:textAlignment w:val="baseline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rFonts w:ascii="Calibri" w:hAnsi="Calibri"/>
      <w:kern w:val="2"/>
      <w:sz w:val="18"/>
      <w:szCs w:val="22"/>
      <w:lang w:val="en-US" w:eastAsia="zh-CN" w:bidi="ar-SA"/>
    </w:rPr>
  </w:style>
  <w:style w:type="paragraph" w:styleId="5">
    <w:name w:val="header"/>
    <w:basedOn w:val="1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  <w:spacing w:line="240" w:lineRule="auto"/>
      <w:jc w:val="both"/>
      <w:textAlignment w:val="baseline"/>
    </w:pPr>
    <w:rPr>
      <w:rFonts w:ascii="Times New Roman" w:hAnsi="Times New Roman"/>
      <w:kern w:val="2"/>
      <w:sz w:val="18"/>
      <w:szCs w:val="22"/>
      <w:lang w:val="en-US" w:eastAsia="zh-CN" w:bidi="ar-SA"/>
    </w:r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/>
    </w:rPr>
  </w:style>
  <w:style w:type="paragraph" w:customStyle="1" w:styleId="9">
    <w:name w:val="Heading1"/>
    <w:basedOn w:val="1"/>
    <w:link w:val="12"/>
    <w:qFormat/>
    <w:uiPriority w:val="0"/>
    <w:pPr>
      <w:widowControl/>
      <w:spacing w:before="100" w:beforeAutospacing="1" w:after="100" w:afterAutospacing="1"/>
      <w:jc w:val="left"/>
      <w:textAlignment w:val="baseline"/>
    </w:pPr>
    <w:rPr>
      <w:rFonts w:ascii="宋体" w:hAnsi="宋体" w:cs="宋体"/>
      <w:b/>
      <w:bCs/>
      <w:kern w:val="36"/>
      <w:sz w:val="48"/>
      <w:szCs w:val="48"/>
      <w:lang w:val="en-US" w:eastAsia="zh-CN" w:bidi="ar-SA"/>
    </w:rPr>
  </w:style>
  <w:style w:type="character" w:customStyle="1" w:styleId="10">
    <w:name w:val="NormalCharacter"/>
    <w:qFormat/>
    <w:uiPriority w:val="0"/>
  </w:style>
  <w:style w:type="table" w:customStyle="1" w:styleId="11">
    <w:name w:val="TableNormal"/>
    <w:qFormat/>
    <w:uiPriority w:val="0"/>
  </w:style>
  <w:style w:type="character" w:customStyle="1" w:styleId="12">
    <w:name w:val="UserStyle_0"/>
    <w:basedOn w:val="10"/>
    <w:link w:val="9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paragraph" w:customStyle="1" w:styleId="13">
    <w:name w:val="NormalIndent"/>
    <w:basedOn w:val="1"/>
    <w:qFormat/>
    <w:uiPriority w:val="0"/>
    <w:pPr>
      <w:ind w:firstLine="420" w:firstLineChars="200"/>
      <w:jc w:val="both"/>
      <w:textAlignment w:val="baseline"/>
    </w:pPr>
    <w:rPr>
      <w:rFonts w:ascii="Calibri" w:hAnsi="Calibri" w:eastAsia="宋体"/>
      <w:kern w:val="2"/>
      <w:sz w:val="21"/>
      <w:szCs w:val="22"/>
      <w:lang w:val="en-US" w:eastAsia="zh-CN" w:bidi="ar-SA"/>
    </w:rPr>
  </w:style>
  <w:style w:type="paragraph" w:customStyle="1" w:styleId="14">
    <w:name w:val="UserStyle_1"/>
    <w:basedOn w:val="15"/>
    <w:qFormat/>
    <w:uiPriority w:val="0"/>
    <w:pPr>
      <w:spacing w:after="120"/>
      <w:ind w:firstLine="420" w:firstLineChars="100"/>
      <w:jc w:val="both"/>
      <w:textAlignment w:val="baseline"/>
    </w:pPr>
  </w:style>
  <w:style w:type="paragraph" w:customStyle="1" w:styleId="15">
    <w:name w:val="UserStyle_2"/>
    <w:basedOn w:val="1"/>
    <w:qFormat/>
    <w:uiPriority w:val="0"/>
    <w:pPr>
      <w:spacing w:after="120"/>
      <w:jc w:val="both"/>
      <w:textAlignment w:val="baseline"/>
    </w:pPr>
  </w:style>
  <w:style w:type="character" w:customStyle="1" w:styleId="16">
    <w:name w:val="UserStyle_3"/>
    <w:basedOn w:val="17"/>
    <w:qFormat/>
    <w:uiPriority w:val="0"/>
    <w:rPr>
      <w:rFonts w:ascii="Calibri" w:hAnsi="Calibri"/>
      <w:kern w:val="2"/>
      <w:sz w:val="21"/>
      <w:szCs w:val="22"/>
      <w:lang w:val="en-US" w:eastAsia="zh-CN" w:bidi="ar-SA"/>
    </w:rPr>
  </w:style>
  <w:style w:type="character" w:customStyle="1" w:styleId="17">
    <w:name w:val="UserStyle_4"/>
    <w:qFormat/>
    <w:uiPriority w:val="0"/>
    <w:rPr>
      <w:rFonts w:ascii="Calibri" w:hAnsi="Calibri"/>
      <w:kern w:val="2"/>
      <w:sz w:val="21"/>
      <w:szCs w:val="22"/>
      <w:lang w:val="en-US" w:eastAsia="zh-CN" w:bidi="ar-SA"/>
    </w:rPr>
  </w:style>
  <w:style w:type="character" w:customStyle="1" w:styleId="18">
    <w:name w:val="261"/>
    <w:basedOn w:val="10"/>
    <w:qFormat/>
    <w:uiPriority w:val="0"/>
    <w:rPr>
      <w:rFonts w:cs="等线"/>
      <w:b/>
      <w:bCs/>
      <w:i/>
      <w:iCs/>
      <w:color w:val="4F81BD"/>
    </w:rPr>
  </w:style>
  <w:style w:type="paragraph" w:customStyle="1" w:styleId="19">
    <w:name w:val="UserStyle_5"/>
    <w:basedOn w:val="1"/>
    <w:qFormat/>
    <w:uiPriority w:val="0"/>
    <w:pPr>
      <w:widowControl/>
      <w:spacing w:line="365" w:lineRule="atLeast"/>
      <w:ind w:left="1"/>
      <w:jc w:val="both"/>
      <w:textAlignment w:val="bottom"/>
    </w:pPr>
    <w:rPr>
      <w:rFonts w:ascii="Times New Roman" w:hAnsi="Times New Roman"/>
      <w:kern w:val="0"/>
      <w:sz w:val="20"/>
      <w:szCs w:val="20"/>
      <w:lang w:val="en-US" w:eastAsia="zh-CN" w:bidi="ar-SA"/>
    </w:rPr>
  </w:style>
  <w:style w:type="paragraph" w:customStyle="1" w:styleId="20">
    <w:name w:val="UserStyle_6"/>
    <w:basedOn w:val="1"/>
    <w:qFormat/>
    <w:uiPriority w:val="0"/>
    <w:pPr>
      <w:ind w:firstLine="420" w:firstLineChars="200"/>
      <w:jc w:val="both"/>
      <w:textAlignment w:val="baseline"/>
    </w:pPr>
    <w:rPr>
      <w:rFonts w:ascii="Calibri" w:hAnsi="Calibri" w:eastAsia="宋体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Words>1756</Words>
  <Characters>1853</Characters>
  <Paragraphs>60</Paragraphs>
  <TotalTime>0</TotalTime>
  <ScaleCrop>false</ScaleCrop>
  <LinksUpToDate>false</LinksUpToDate>
  <CharactersWithSpaces>1906</CharactersWithSpaces>
  <Application>WPS Office_11.8.2.9831_F1E327BC-269C-435d-A152-05C5408002CA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2021-10-02T01:10:00Z</dcterms:created>
  <dc:creator>Administrator</dc:creator>
  <cp:lastModifiedBy>user</cp:lastModifiedBy>
  <cp:lastPrinted>2021-11-04T08:44:00Z</cp:lastPrinted>
  <dcterms:modified xsi:type="dcterms:W3CDTF">2021-11-04T09:22:22Z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8FF91E26347A4477AC4EB2EE707E878A</vt:lpwstr>
  </property>
</Properties>
</file>