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bCs/>
          <w:sz w:val="36"/>
          <w:szCs w:val="36"/>
        </w:rPr>
      </w:pPr>
      <w:r>
        <w:rPr>
          <w:rFonts w:hint="eastAsia" w:ascii="宋体" w:hAnsi="宋体" w:cs="宋体"/>
          <w:b/>
          <w:bCs/>
          <w:sz w:val="36"/>
          <w:szCs w:val="36"/>
        </w:rPr>
        <w:t>关于2018年度赣州市第二次全国污染源普查</w:t>
      </w:r>
    </w:p>
    <w:p>
      <w:pPr>
        <w:jc w:val="center"/>
        <w:rPr>
          <w:rFonts w:ascii="宋体" w:hAnsi="宋体" w:cs="宋体"/>
          <w:b/>
          <w:bCs/>
          <w:sz w:val="36"/>
          <w:szCs w:val="36"/>
        </w:rPr>
      </w:pPr>
      <w:r>
        <w:rPr>
          <w:rFonts w:hint="eastAsia" w:ascii="宋体" w:hAnsi="宋体" w:cs="宋体"/>
          <w:b/>
          <w:bCs/>
          <w:sz w:val="36"/>
          <w:szCs w:val="36"/>
        </w:rPr>
        <w:t>工作经费的绩效评价报告</w:t>
      </w:r>
    </w:p>
    <w:p>
      <w:pPr>
        <w:spacing w:line="560" w:lineRule="exact"/>
        <w:ind w:firstLine="640" w:firstLineChars="200"/>
        <w:rPr>
          <w:rFonts w:ascii="仿宋" w:hAnsi="仿宋" w:eastAsia="仿宋" w:cs="仿宋"/>
          <w:sz w:val="32"/>
          <w:szCs w:val="32"/>
        </w:rPr>
      </w:pPr>
    </w:p>
    <w:p>
      <w:pPr>
        <w:spacing w:line="560" w:lineRule="exact"/>
        <w:ind w:firstLine="602" w:firstLineChars="200"/>
        <w:rPr>
          <w:rFonts w:ascii="黑体" w:hAnsi="黑体" w:eastAsia="黑体" w:cs="黑体"/>
          <w:b/>
          <w:bCs/>
          <w:sz w:val="30"/>
          <w:szCs w:val="30"/>
        </w:rPr>
      </w:pPr>
      <w:r>
        <w:rPr>
          <w:rFonts w:hint="eastAsia" w:ascii="黑体" w:hAnsi="黑体" w:eastAsia="黑体" w:cs="黑体"/>
          <w:b/>
          <w:bCs/>
          <w:sz w:val="30"/>
          <w:szCs w:val="30"/>
        </w:rPr>
        <w:t>一、项目基本情况</w:t>
      </w:r>
    </w:p>
    <w:p>
      <w:pPr>
        <w:spacing w:line="560" w:lineRule="exact"/>
        <w:ind w:firstLine="602" w:firstLineChars="200"/>
        <w:rPr>
          <w:rFonts w:ascii="楷体" w:hAnsi="楷体" w:eastAsia="楷体" w:cs="楷体"/>
          <w:b/>
          <w:bCs/>
          <w:sz w:val="30"/>
          <w:szCs w:val="30"/>
        </w:rPr>
      </w:pPr>
      <w:r>
        <w:rPr>
          <w:rFonts w:hint="eastAsia" w:ascii="楷体" w:hAnsi="楷体" w:eastAsia="楷体" w:cs="楷体"/>
          <w:b/>
          <w:bCs/>
          <w:sz w:val="30"/>
          <w:szCs w:val="30"/>
        </w:rPr>
        <w:t>（一）项目概况</w:t>
      </w:r>
    </w:p>
    <w:p>
      <w:pPr>
        <w:spacing w:line="560" w:lineRule="exact"/>
        <w:ind w:firstLine="602" w:firstLineChars="200"/>
        <w:rPr>
          <w:rFonts w:ascii="仿宋" w:hAnsi="仿宋" w:eastAsia="仿宋" w:cs="仿宋"/>
          <w:sz w:val="30"/>
          <w:szCs w:val="30"/>
        </w:rPr>
      </w:pPr>
      <w:r>
        <w:rPr>
          <w:rFonts w:hint="eastAsia" w:ascii="仿宋" w:hAnsi="仿宋" w:eastAsia="仿宋" w:cs="仿宋"/>
          <w:b/>
          <w:bCs/>
          <w:sz w:val="30"/>
          <w:szCs w:val="30"/>
        </w:rPr>
        <w:t>立项背景及目的：</w:t>
      </w:r>
      <w:r>
        <w:rPr>
          <w:rFonts w:hint="eastAsia" w:ascii="仿宋" w:hAnsi="仿宋" w:eastAsia="仿宋" w:cs="仿宋"/>
          <w:sz w:val="30"/>
          <w:szCs w:val="30"/>
        </w:rPr>
        <w:t>全国污染源普查是重大的国情调查，是环境保护的基础性工作。开展第二次全国污染源普查，掌握各类污染源的数量、行业和地区分布情况，了解主要污染物产生、排放和处理情况，建立健全重点污染源档案、污染源信息数据库和环境统计平台，对于准确判断我国当前环境形势，制定实施有针对性的经济社会发展和环境保护政策、规划，不断改善环境质量，加快推进生态文明建设，补齐全面建成小康社会的生态环境短板具有重要意义。</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根据《全国污染源普查条例》、《国务院关于开展第二次全国污染源普查的通知》（国发〔2016〕59号）及《国务院办公厅关于印发第二次全国污染源普查方案的通知》（国发〔2017〕82号）、《江西省第二次全国污染源普查实施方案》（赣府厅字〔2017〕137号）精神，我市于2017年5月印发了《赣州市人民政府关于做好第二次全国污染源普查的通知》（赣市府办字〔2017〕221号），</w:t>
      </w:r>
      <w:r>
        <w:rPr>
          <w:rFonts w:hint="eastAsia" w:ascii="仿宋" w:hAnsi="仿宋" w:eastAsia="仿宋" w:cs="仿宋"/>
          <w:kern w:val="0"/>
          <w:sz w:val="30"/>
          <w:szCs w:val="30"/>
        </w:rPr>
        <w:t>正式启动了该项目。</w:t>
      </w:r>
    </w:p>
    <w:p>
      <w:pPr>
        <w:spacing w:line="560" w:lineRule="exact"/>
        <w:ind w:firstLine="602" w:firstLineChars="200"/>
        <w:rPr>
          <w:rFonts w:ascii="仿宋" w:hAnsi="仿宋" w:eastAsia="仿宋" w:cs="仿宋"/>
          <w:sz w:val="30"/>
          <w:szCs w:val="30"/>
        </w:rPr>
      </w:pPr>
      <w:r>
        <w:rPr>
          <w:rFonts w:hint="eastAsia" w:ascii="仿宋" w:hAnsi="仿宋" w:eastAsia="仿宋" w:cs="仿宋"/>
          <w:b/>
          <w:bCs/>
          <w:sz w:val="30"/>
          <w:szCs w:val="30"/>
        </w:rPr>
        <w:t>资金来源及使用情况：</w:t>
      </w:r>
      <w:r>
        <w:rPr>
          <w:rFonts w:hint="eastAsia" w:ascii="仿宋" w:hAnsi="仿宋" w:eastAsia="仿宋" w:cs="仿宋"/>
          <w:sz w:val="30"/>
          <w:szCs w:val="30"/>
        </w:rPr>
        <w:t>项目资金来源为一般公共预算拨款，2018年度预算资金为100万元，全年执行数为48.84万元。</w:t>
      </w:r>
    </w:p>
    <w:p>
      <w:pPr>
        <w:spacing w:line="560" w:lineRule="exact"/>
        <w:ind w:firstLine="602" w:firstLineChars="200"/>
        <w:rPr>
          <w:rFonts w:ascii="仿宋" w:hAnsi="仿宋" w:eastAsia="仿宋" w:cs="仿宋"/>
          <w:sz w:val="30"/>
          <w:szCs w:val="30"/>
        </w:rPr>
      </w:pPr>
      <w:r>
        <w:rPr>
          <w:rFonts w:hint="eastAsia" w:ascii="仿宋" w:hAnsi="仿宋" w:eastAsia="仿宋" w:cs="仿宋"/>
          <w:b/>
          <w:bCs/>
          <w:sz w:val="30"/>
          <w:szCs w:val="30"/>
        </w:rPr>
        <w:t>项目完成情况：</w:t>
      </w:r>
      <w:r>
        <w:rPr>
          <w:rFonts w:hint="eastAsia" w:ascii="仿宋" w:hAnsi="仿宋" w:eastAsia="仿宋" w:cs="仿宋"/>
          <w:sz w:val="30"/>
          <w:szCs w:val="30"/>
        </w:rPr>
        <w:t>于2018年完成赣州市第二次全国污染源普查清查质量核查与评估工作，包括赣州市20个县（市、区）的污染源清查数据质量审核与现场核查、各县（市、区）的整体工作质量评估，并将《赣州市第二次全国污染源普查质量核查与评估方案》（电子版本1份、纸质版1份）、《赣州市第二次全国污染源普查清查质量核查与评估报告》（电子版本1份、纸质版1份）提交赣州市第二次全国污染源普查工作办公室通过审核。后续工作正按照国家计划时间和项目合同要求有序进行。</w:t>
      </w:r>
    </w:p>
    <w:p>
      <w:pPr>
        <w:spacing w:line="560" w:lineRule="exact"/>
        <w:ind w:firstLine="602" w:firstLineChars="200"/>
        <w:rPr>
          <w:rFonts w:ascii="仿宋" w:hAnsi="仿宋" w:eastAsia="仿宋" w:cs="仿宋"/>
          <w:sz w:val="30"/>
          <w:szCs w:val="30"/>
        </w:rPr>
      </w:pPr>
      <w:r>
        <w:rPr>
          <w:rFonts w:hint="eastAsia" w:ascii="仿宋" w:hAnsi="仿宋" w:eastAsia="仿宋" w:cs="仿宋"/>
          <w:b/>
          <w:bCs/>
          <w:sz w:val="30"/>
          <w:szCs w:val="30"/>
        </w:rPr>
        <w:t>组织和管理情况：</w:t>
      </w:r>
      <w:r>
        <w:rPr>
          <w:rFonts w:hint="eastAsia" w:ascii="仿宋" w:hAnsi="仿宋" w:eastAsia="仿宋" w:cs="仿宋"/>
          <w:sz w:val="30"/>
          <w:szCs w:val="30"/>
        </w:rPr>
        <w:t>赣州市环境保护局高度重视此项工作，成立了赣州市第二次全国污染源普查工作办公室，严格按照有关规定对项目实施开展管理。安排专人现场参与清查表、入户调查表的核查工作，监督普查过程的规范性，清查与入户调查过程中定期开展调度，按进度全覆盖核查普查工作质量，项目现阶段完成预期目标。</w:t>
      </w:r>
    </w:p>
    <w:p>
      <w:pPr>
        <w:spacing w:line="560" w:lineRule="exact"/>
        <w:ind w:firstLine="602" w:firstLineChars="200"/>
        <w:rPr>
          <w:rFonts w:ascii="楷体" w:hAnsi="楷体" w:eastAsia="楷体" w:cs="楷体"/>
          <w:b/>
          <w:bCs/>
          <w:sz w:val="30"/>
          <w:szCs w:val="30"/>
        </w:rPr>
      </w:pPr>
      <w:r>
        <w:rPr>
          <w:rFonts w:hint="eastAsia" w:ascii="楷体" w:hAnsi="楷体" w:eastAsia="楷体" w:cs="楷体"/>
          <w:b/>
          <w:bCs/>
          <w:sz w:val="30"/>
          <w:szCs w:val="30"/>
        </w:rPr>
        <w:t>（二）绩效目标</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完成赣州市第二次全国污染源普查清查质量核查与评估工作，开展市级技术培训，保障赣州市清查数据漏查率、重复率、错误率符合国家要求；编制清查质量核查与评估报告；配合上级部门完成质量核查工作。</w:t>
      </w:r>
    </w:p>
    <w:p>
      <w:pPr>
        <w:spacing w:line="560" w:lineRule="exact"/>
        <w:ind w:firstLine="602" w:firstLineChars="200"/>
        <w:rPr>
          <w:rFonts w:ascii="黑体" w:hAnsi="黑体" w:eastAsia="黑体" w:cs="黑体"/>
          <w:b/>
          <w:bCs/>
          <w:sz w:val="30"/>
          <w:szCs w:val="30"/>
        </w:rPr>
      </w:pPr>
      <w:r>
        <w:rPr>
          <w:rFonts w:hint="eastAsia" w:ascii="黑体" w:hAnsi="黑体" w:eastAsia="黑体" w:cs="黑体"/>
          <w:b/>
          <w:bCs/>
          <w:sz w:val="30"/>
          <w:szCs w:val="30"/>
        </w:rPr>
        <w:t>二、绩效评价情况</w:t>
      </w:r>
    </w:p>
    <w:p>
      <w:pPr>
        <w:spacing w:line="560" w:lineRule="exact"/>
        <w:ind w:firstLine="602" w:firstLineChars="200"/>
        <w:rPr>
          <w:rFonts w:ascii="仿宋" w:hAnsi="仿宋" w:eastAsia="仿宋" w:cs="仿宋"/>
          <w:sz w:val="30"/>
          <w:szCs w:val="30"/>
        </w:rPr>
      </w:pPr>
      <w:r>
        <w:rPr>
          <w:rFonts w:hint="eastAsia" w:ascii="楷体" w:hAnsi="楷体" w:eastAsia="楷体" w:cs="楷体"/>
          <w:b/>
          <w:bCs/>
          <w:sz w:val="30"/>
          <w:szCs w:val="30"/>
        </w:rPr>
        <w:t>（一）绩效评价目的</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促进赣州市第二次全国污染源普查项目的科学决策、科学管理，实现良好的经济效益、社会效益和环境效益，为项目后续绩效评估工作提供参考。</w:t>
      </w:r>
    </w:p>
    <w:p>
      <w:pPr>
        <w:spacing w:line="560" w:lineRule="exact"/>
        <w:ind w:firstLine="602" w:firstLineChars="200"/>
        <w:rPr>
          <w:rFonts w:ascii="楷体" w:hAnsi="楷体" w:eastAsia="楷体" w:cs="楷体"/>
          <w:b/>
          <w:bCs/>
          <w:sz w:val="30"/>
          <w:szCs w:val="30"/>
        </w:rPr>
      </w:pPr>
      <w:r>
        <w:rPr>
          <w:rFonts w:hint="eastAsia" w:ascii="楷体" w:hAnsi="楷体" w:eastAsia="楷体" w:cs="楷体"/>
          <w:b/>
          <w:bCs/>
          <w:sz w:val="30"/>
          <w:szCs w:val="30"/>
        </w:rPr>
        <w:t>（二）绩效评价方案、原则和方法</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根据《赣州市财政局关于开展2018年度市本级部门预算项目支出绩效自评工作的通知》（赣市财预字〔2019〕25号）要求设置四类一级指标为产出指标、效益指标、服务对象满意度指标和预算资金执行率。</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项目绩效自评采取打分评价的形式，满分为100分。一级指标权重统一设置为：产出指标50分、效益指标30分、服务对象满意度指标10分、预算资金执行率10分。</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产出指标设置3类二级指标，共9个三级指标；效益指标设置2类二级指标，共2个三级指标；服务对象满意度指标设置1类二级指标，共1个三级指标；项目依据各级指标逐项分析评价打分。</w:t>
      </w:r>
    </w:p>
    <w:p>
      <w:pPr>
        <w:spacing w:line="560" w:lineRule="exact"/>
        <w:ind w:firstLine="602" w:firstLineChars="200"/>
        <w:rPr>
          <w:rFonts w:ascii="楷体" w:hAnsi="楷体" w:eastAsia="楷体" w:cs="楷体"/>
          <w:b/>
          <w:bCs/>
          <w:sz w:val="30"/>
          <w:szCs w:val="30"/>
        </w:rPr>
      </w:pPr>
      <w:r>
        <w:rPr>
          <w:rFonts w:hint="eastAsia" w:ascii="楷体" w:hAnsi="楷体" w:eastAsia="楷体" w:cs="楷体"/>
          <w:b/>
          <w:bCs/>
          <w:sz w:val="30"/>
          <w:szCs w:val="30"/>
        </w:rPr>
        <w:t>（三）绩效评价实施</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依据绩效评价工作方案开展实施，由绩效自评工作组负责完成。</w:t>
      </w:r>
    </w:p>
    <w:p>
      <w:pPr>
        <w:spacing w:line="560" w:lineRule="exact"/>
        <w:ind w:firstLine="602" w:firstLineChars="200"/>
        <w:rPr>
          <w:rFonts w:ascii="楷体" w:hAnsi="楷体" w:eastAsia="楷体" w:cs="楷体"/>
          <w:b/>
          <w:bCs/>
          <w:sz w:val="30"/>
          <w:szCs w:val="30"/>
        </w:rPr>
      </w:pPr>
      <w:r>
        <w:rPr>
          <w:rFonts w:hint="eastAsia" w:ascii="楷体" w:hAnsi="楷体" w:eastAsia="楷体" w:cs="楷体"/>
          <w:b/>
          <w:bCs/>
          <w:sz w:val="30"/>
          <w:szCs w:val="30"/>
        </w:rPr>
        <w:t>（四）绩效评价的局限性</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普查工作进度和开展方式需根据上级技术文件和计划变更调整，因此绩效评价指标具有一定局限性，评价指标不能全面覆盖全年实际工作量。</w:t>
      </w:r>
    </w:p>
    <w:p>
      <w:pPr>
        <w:spacing w:line="560" w:lineRule="exact"/>
        <w:ind w:firstLine="602" w:firstLineChars="200"/>
        <w:rPr>
          <w:rFonts w:ascii="黑体" w:hAnsi="黑体" w:eastAsia="黑体" w:cs="黑体"/>
          <w:b/>
          <w:bCs/>
          <w:sz w:val="30"/>
          <w:szCs w:val="30"/>
        </w:rPr>
      </w:pPr>
      <w:r>
        <w:rPr>
          <w:rFonts w:hint="eastAsia" w:ascii="黑体" w:hAnsi="黑体" w:eastAsia="黑体" w:cs="黑体"/>
          <w:b/>
          <w:bCs/>
          <w:sz w:val="30"/>
          <w:szCs w:val="30"/>
        </w:rPr>
        <w:t>三、评价结论和绩效分析</w:t>
      </w:r>
    </w:p>
    <w:p>
      <w:pPr>
        <w:spacing w:line="560" w:lineRule="exact"/>
        <w:ind w:firstLine="602" w:firstLineChars="200"/>
        <w:rPr>
          <w:rFonts w:ascii="楷体" w:hAnsi="楷体" w:eastAsia="楷体" w:cs="楷体"/>
          <w:b/>
          <w:bCs/>
          <w:sz w:val="30"/>
          <w:szCs w:val="30"/>
        </w:rPr>
      </w:pPr>
      <w:r>
        <w:rPr>
          <w:rFonts w:hint="eastAsia" w:ascii="楷体" w:hAnsi="楷体" w:eastAsia="楷体" w:cs="楷体"/>
          <w:b/>
          <w:bCs/>
          <w:sz w:val="30"/>
          <w:szCs w:val="30"/>
        </w:rPr>
        <w:t>（一）评价结论</w:t>
      </w:r>
    </w:p>
    <w:p>
      <w:pPr>
        <w:spacing w:line="560" w:lineRule="exact"/>
        <w:ind w:firstLine="602" w:firstLineChars="200"/>
        <w:rPr>
          <w:rFonts w:ascii="仿宋" w:hAnsi="仿宋" w:eastAsia="仿宋" w:cs="仿宋"/>
          <w:sz w:val="30"/>
          <w:szCs w:val="30"/>
        </w:rPr>
      </w:pPr>
      <w:r>
        <w:rPr>
          <w:rFonts w:hint="eastAsia" w:ascii="仿宋" w:hAnsi="仿宋" w:eastAsia="仿宋" w:cs="仿宋"/>
          <w:b/>
          <w:bCs/>
          <w:sz w:val="30"/>
          <w:szCs w:val="30"/>
        </w:rPr>
        <w:t>此次绩效自评的内容包括：</w:t>
      </w:r>
      <w:r>
        <w:rPr>
          <w:rFonts w:hint="eastAsia" w:ascii="仿宋" w:hAnsi="仿宋" w:eastAsia="仿宋" w:cs="仿宋"/>
          <w:sz w:val="30"/>
          <w:szCs w:val="30"/>
        </w:rPr>
        <w:t>资金投入与管理、项目实施管理、项目运行情况和项目效益情况等。经综合评价，赣州市第二次全国污染源普查项目现阶段资金使用和效果达到了预期的生态和社会效益，综合得分93分。</w:t>
      </w:r>
    </w:p>
    <w:p>
      <w:pPr>
        <w:spacing w:line="560" w:lineRule="exact"/>
        <w:ind w:firstLine="602" w:firstLineChars="200"/>
        <w:rPr>
          <w:rFonts w:ascii="楷体" w:hAnsi="楷体" w:eastAsia="楷体" w:cs="楷体"/>
          <w:b/>
          <w:bCs/>
          <w:sz w:val="30"/>
          <w:szCs w:val="30"/>
        </w:rPr>
      </w:pPr>
      <w:r>
        <w:rPr>
          <w:rFonts w:hint="eastAsia" w:ascii="楷体" w:hAnsi="楷体" w:eastAsia="楷体" w:cs="楷体"/>
          <w:b/>
          <w:bCs/>
          <w:sz w:val="30"/>
          <w:szCs w:val="30"/>
        </w:rPr>
        <w:t>（二）绩效分析</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该项目2018年预算为100万元，实际执行资金48.84万元，执行率为48.84%。截</w:t>
      </w:r>
      <w:r>
        <w:rPr>
          <w:rFonts w:hint="eastAsia" w:ascii="仿宋" w:hAnsi="仿宋" w:eastAsia="仿宋" w:cs="仿宋"/>
          <w:sz w:val="30"/>
          <w:szCs w:val="30"/>
          <w:lang w:val="en-US" w:eastAsia="zh-CN"/>
        </w:rPr>
        <w:t>至目前</w:t>
      </w:r>
      <w:bookmarkStart w:id="0" w:name="_GoBack"/>
      <w:bookmarkEnd w:id="0"/>
      <w:r>
        <w:rPr>
          <w:rFonts w:hint="eastAsia" w:ascii="仿宋" w:hAnsi="仿宋" w:eastAsia="仿宋" w:cs="仿宋"/>
          <w:sz w:val="30"/>
          <w:szCs w:val="30"/>
        </w:rPr>
        <w:t>，项目已完成赣州市第二次全国污染源普查清查质量核查与评估工作，包括赣州市20个县（市、区）的污染源清查数据质量审核与现场核查、各县（市、区）的整体工作质量评估。</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我市第二次全国污染源普查各阶段工作均按国家和省级时间节点完成调查工作，普查领导小组及其办公室等机构成立及时，普查人员配备充足，办公条件满足需要，实施方案操作性强、印发及时，经费保障有力，管理到位，清查及入户调查过程数据采集核查结果总体为优。</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项目共设置7个绩效指标，其中产出指标3个，效益指标2个，满意度指标1个，绩效目标完成情况如下：</w:t>
      </w:r>
    </w:p>
    <w:p>
      <w:pPr>
        <w:spacing w:line="560" w:lineRule="exact"/>
        <w:ind w:firstLine="602" w:firstLineChars="200"/>
        <w:rPr>
          <w:rFonts w:ascii="仿宋" w:hAnsi="仿宋" w:eastAsia="仿宋" w:cs="仿宋"/>
          <w:sz w:val="30"/>
          <w:szCs w:val="30"/>
        </w:rPr>
      </w:pPr>
      <w:r>
        <w:rPr>
          <w:rFonts w:hint="eastAsia" w:ascii="仿宋" w:hAnsi="仿宋" w:eastAsia="仿宋" w:cs="仿宋"/>
          <w:b/>
          <w:bCs/>
          <w:sz w:val="30"/>
          <w:szCs w:val="30"/>
        </w:rPr>
        <w:t>产出指标</w:t>
      </w:r>
      <w:r>
        <w:rPr>
          <w:rFonts w:hint="eastAsia" w:ascii="仿宋" w:hAnsi="仿宋" w:eastAsia="仿宋" w:cs="仿宋"/>
          <w:sz w:val="30"/>
          <w:szCs w:val="30"/>
        </w:rPr>
        <w:t>：一是数量指标。已完成《赣州市第二次全国污染源普查质量核查与评估方案》、《赣州市第二次全国污染源普查清查质量核查与评估报告》、依据第二次全国污染源普查相关技术要求共计开展市级技术培训3次。参照绩效评价标准，绩效指标完成情况为优。二是质量指标。根据清查与详查质量核查评估报告，我市清查数据漏查率为1.17%、清查数据重复率为1.52%、清查数据错误率为2.51%，结果为优。参照绩效评价标准，绩效指标完成情况为优。三是时效指标。依据普查相关文件要求，6月30日已按计划时限要求完成普查清查质量核查工作，并通过审核。参照绩效评价标准，绩效指标完成情况为优。</w:t>
      </w:r>
    </w:p>
    <w:p>
      <w:pPr>
        <w:spacing w:line="560" w:lineRule="exact"/>
        <w:ind w:firstLine="602" w:firstLineChars="200"/>
        <w:rPr>
          <w:rFonts w:ascii="仿宋" w:hAnsi="仿宋" w:eastAsia="仿宋" w:cs="仿宋"/>
          <w:sz w:val="30"/>
          <w:szCs w:val="30"/>
        </w:rPr>
      </w:pPr>
      <w:r>
        <w:rPr>
          <w:rFonts w:hint="eastAsia" w:ascii="仿宋" w:hAnsi="仿宋" w:eastAsia="仿宋" w:cs="仿宋"/>
          <w:b/>
          <w:bCs/>
          <w:sz w:val="30"/>
          <w:szCs w:val="30"/>
        </w:rPr>
        <w:t>效益指标：</w:t>
      </w:r>
      <w:r>
        <w:rPr>
          <w:rFonts w:hint="eastAsia" w:ascii="仿宋" w:hAnsi="仿宋" w:eastAsia="仿宋" w:cs="仿宋"/>
          <w:sz w:val="30"/>
          <w:szCs w:val="30"/>
        </w:rPr>
        <w:t>一是生态效益指标。阶段性成果已部分应用于排污许可核发范围判定信息完善、重点行业企业用地土壤污染状况调查（调查对象增补）等工作。参照绩效评价标准，绩效指标完成情况为优。二是社会效益指标。对赣州市排污企业开展普查宣传工作，覆盖率达到100%。参照绩效评价标准，绩效指标完成情况为优。</w:t>
      </w:r>
    </w:p>
    <w:p>
      <w:pPr>
        <w:spacing w:line="560" w:lineRule="exact"/>
        <w:ind w:firstLine="602" w:firstLineChars="200"/>
        <w:rPr>
          <w:rFonts w:ascii="仿宋" w:hAnsi="仿宋" w:eastAsia="仿宋" w:cs="仿宋"/>
          <w:sz w:val="30"/>
          <w:szCs w:val="30"/>
        </w:rPr>
      </w:pPr>
      <w:r>
        <w:rPr>
          <w:rFonts w:hint="eastAsia" w:ascii="仿宋" w:hAnsi="仿宋" w:eastAsia="仿宋" w:cs="仿宋"/>
          <w:b/>
          <w:bCs/>
          <w:sz w:val="30"/>
          <w:szCs w:val="30"/>
        </w:rPr>
        <w:t>满意度指标：</w:t>
      </w:r>
      <w:r>
        <w:rPr>
          <w:rFonts w:hint="eastAsia" w:ascii="仿宋" w:hAnsi="仿宋" w:eastAsia="仿宋" w:cs="仿宋"/>
          <w:sz w:val="30"/>
          <w:szCs w:val="30"/>
        </w:rPr>
        <w:t>统计公众对污染源普查公报结果满意程度调查结果，满意度为90%。参照绩效评价标准，绩效指标完成情况为优。</w:t>
      </w:r>
    </w:p>
    <w:p>
      <w:pPr>
        <w:spacing w:line="560" w:lineRule="exact"/>
        <w:ind w:firstLine="602" w:firstLineChars="200"/>
        <w:rPr>
          <w:rFonts w:ascii="黑体" w:hAnsi="黑体" w:eastAsia="黑体" w:cs="黑体"/>
          <w:b/>
          <w:bCs/>
          <w:sz w:val="30"/>
          <w:szCs w:val="30"/>
        </w:rPr>
      </w:pPr>
      <w:r>
        <w:rPr>
          <w:rFonts w:hint="eastAsia" w:ascii="黑体" w:hAnsi="黑体" w:eastAsia="黑体" w:cs="黑体"/>
          <w:b/>
          <w:bCs/>
          <w:sz w:val="30"/>
          <w:szCs w:val="30"/>
        </w:rPr>
        <w:t>四、成功经验</w:t>
      </w:r>
    </w:p>
    <w:p>
      <w:pPr>
        <w:spacing w:line="560" w:lineRule="exact"/>
        <w:ind w:firstLine="602" w:firstLineChars="200"/>
        <w:rPr>
          <w:rFonts w:ascii="仿宋" w:hAnsi="仿宋" w:eastAsia="仿宋" w:cs="仿宋"/>
          <w:sz w:val="30"/>
          <w:szCs w:val="30"/>
        </w:rPr>
      </w:pPr>
      <w:r>
        <w:rPr>
          <w:rFonts w:hint="eastAsia" w:ascii="仿宋" w:hAnsi="仿宋" w:eastAsia="仿宋" w:cs="仿宋"/>
          <w:b/>
          <w:bCs/>
          <w:sz w:val="30"/>
          <w:szCs w:val="30"/>
        </w:rPr>
        <w:t>一是</w:t>
      </w:r>
      <w:r>
        <w:rPr>
          <w:rFonts w:hint="eastAsia" w:ascii="仿宋" w:hAnsi="仿宋" w:eastAsia="仿宋" w:cs="仿宋"/>
          <w:sz w:val="30"/>
          <w:szCs w:val="30"/>
        </w:rPr>
        <w:t>普查工作中推行利用便捷的手机地图定位软件等，将各类污染源定点导入地图，形成了区县污染源分布图，方便后续入户和核查工作的开展。</w:t>
      </w:r>
    </w:p>
    <w:p>
      <w:pPr>
        <w:spacing w:line="560" w:lineRule="exact"/>
        <w:ind w:firstLine="602" w:firstLineChars="200"/>
        <w:rPr>
          <w:rFonts w:ascii="仿宋" w:hAnsi="仿宋" w:eastAsia="仿宋" w:cs="仿宋"/>
          <w:sz w:val="30"/>
          <w:szCs w:val="30"/>
        </w:rPr>
      </w:pPr>
      <w:r>
        <w:rPr>
          <w:rFonts w:hint="eastAsia" w:ascii="仿宋" w:hAnsi="仿宋" w:eastAsia="仿宋" w:cs="仿宋"/>
          <w:b/>
          <w:bCs/>
          <w:sz w:val="30"/>
          <w:szCs w:val="30"/>
        </w:rPr>
        <w:t>二是</w:t>
      </w:r>
      <w:r>
        <w:rPr>
          <w:rFonts w:hint="eastAsia" w:ascii="仿宋" w:hAnsi="仿宋" w:eastAsia="仿宋" w:cs="仿宋"/>
          <w:sz w:val="30"/>
          <w:szCs w:val="30"/>
        </w:rPr>
        <w:t>充分利用各类通讯手段，对企业开展普查宣传工作，同时通过悬挂标语等形式对普查工作进行了深入的宣传，方便普查员开展入户工作。</w:t>
      </w:r>
    </w:p>
    <w:p>
      <w:pPr>
        <w:spacing w:line="560" w:lineRule="exact"/>
        <w:ind w:firstLine="602" w:firstLineChars="200"/>
        <w:rPr>
          <w:rFonts w:ascii="仿宋" w:hAnsi="仿宋" w:eastAsia="仿宋" w:cs="仿宋"/>
          <w:sz w:val="30"/>
          <w:szCs w:val="30"/>
        </w:rPr>
      </w:pPr>
      <w:r>
        <w:rPr>
          <w:rFonts w:hint="eastAsia" w:ascii="仿宋" w:hAnsi="仿宋" w:eastAsia="仿宋" w:cs="仿宋"/>
          <w:b/>
          <w:bCs/>
          <w:sz w:val="30"/>
          <w:szCs w:val="30"/>
        </w:rPr>
        <w:t>三是</w:t>
      </w:r>
      <w:r>
        <w:rPr>
          <w:rFonts w:hint="eastAsia" w:ascii="仿宋" w:hAnsi="仿宋" w:eastAsia="仿宋" w:cs="仿宋"/>
          <w:sz w:val="30"/>
          <w:szCs w:val="30"/>
        </w:rPr>
        <w:t>统一档案管理标准，要求各县（市、区）对清查纸质表格和电子表格进行了单独编号存放，既有利于备份存档、自我审查，又便于配合上级部门的质量核查。</w:t>
      </w:r>
    </w:p>
    <w:p>
      <w:pPr>
        <w:spacing w:line="560" w:lineRule="exact"/>
        <w:ind w:firstLine="602" w:firstLineChars="200"/>
        <w:rPr>
          <w:rFonts w:ascii="仿宋" w:hAnsi="仿宋" w:eastAsia="仿宋" w:cs="仿宋"/>
          <w:sz w:val="30"/>
          <w:szCs w:val="30"/>
        </w:rPr>
      </w:pPr>
      <w:r>
        <w:rPr>
          <w:rFonts w:hint="eastAsia" w:ascii="仿宋" w:hAnsi="仿宋" w:eastAsia="仿宋" w:cs="仿宋"/>
          <w:b/>
          <w:bCs/>
          <w:sz w:val="30"/>
          <w:szCs w:val="30"/>
        </w:rPr>
        <w:t>四是</w:t>
      </w:r>
      <w:r>
        <w:rPr>
          <w:rFonts w:hint="eastAsia" w:ascii="仿宋" w:hAnsi="仿宋" w:eastAsia="仿宋" w:cs="仿宋"/>
          <w:sz w:val="30"/>
          <w:szCs w:val="30"/>
        </w:rPr>
        <w:t>各县（市、区）通知发动镇、村干部，充分利用地方力量开展普查，起到了全民动员的作用，使清查工作质量得到了有效保障。</w:t>
      </w:r>
    </w:p>
    <w:p>
      <w:pPr>
        <w:spacing w:line="560" w:lineRule="exact"/>
        <w:ind w:firstLine="602" w:firstLineChars="200"/>
        <w:rPr>
          <w:rFonts w:ascii="黑体" w:hAnsi="黑体" w:eastAsia="黑体" w:cs="黑体"/>
          <w:b/>
          <w:bCs/>
          <w:sz w:val="30"/>
          <w:szCs w:val="30"/>
        </w:rPr>
      </w:pPr>
      <w:r>
        <w:rPr>
          <w:rFonts w:hint="eastAsia" w:ascii="黑体" w:hAnsi="黑体" w:eastAsia="黑体" w:cs="黑体"/>
          <w:b/>
          <w:bCs/>
          <w:sz w:val="30"/>
          <w:szCs w:val="30"/>
        </w:rPr>
        <w:t>五、存在问题及相关建议</w:t>
      </w:r>
    </w:p>
    <w:p>
      <w:pPr>
        <w:spacing w:line="560" w:lineRule="exact"/>
        <w:ind w:firstLine="602" w:firstLineChars="200"/>
        <w:rPr>
          <w:rFonts w:ascii="仿宋" w:hAnsi="仿宋" w:eastAsia="仿宋" w:cs="仿宋"/>
          <w:sz w:val="30"/>
          <w:szCs w:val="30"/>
        </w:rPr>
      </w:pPr>
      <w:r>
        <w:rPr>
          <w:rFonts w:hint="eastAsia" w:ascii="仿宋" w:hAnsi="仿宋" w:eastAsia="仿宋" w:cs="仿宋"/>
          <w:b/>
          <w:bCs/>
          <w:sz w:val="30"/>
          <w:szCs w:val="30"/>
        </w:rPr>
        <w:t>一是</w:t>
      </w:r>
      <w:r>
        <w:rPr>
          <w:rFonts w:hint="eastAsia" w:ascii="仿宋" w:hAnsi="仿宋" w:eastAsia="仿宋" w:cs="仿宋"/>
          <w:sz w:val="30"/>
          <w:szCs w:val="30"/>
        </w:rPr>
        <w:t>在绩效评价过程中，该项目按合同支付款项，导致资金执行率偏低，影响了本项目的绩效得分。</w:t>
      </w:r>
    </w:p>
    <w:p>
      <w:pPr>
        <w:spacing w:line="560" w:lineRule="exact"/>
        <w:ind w:firstLine="602" w:firstLineChars="200"/>
        <w:rPr>
          <w:rFonts w:ascii="仿宋" w:hAnsi="仿宋" w:eastAsia="仿宋" w:cs="仿宋"/>
          <w:sz w:val="30"/>
          <w:szCs w:val="30"/>
        </w:rPr>
      </w:pPr>
      <w:r>
        <w:rPr>
          <w:rFonts w:hint="eastAsia" w:ascii="仿宋" w:hAnsi="仿宋" w:eastAsia="仿宋" w:cs="仿宋"/>
          <w:b/>
          <w:bCs/>
          <w:sz w:val="30"/>
          <w:szCs w:val="30"/>
        </w:rPr>
        <w:t>二是</w:t>
      </w:r>
      <w:r>
        <w:rPr>
          <w:rFonts w:hint="eastAsia" w:ascii="仿宋" w:hAnsi="仿宋" w:eastAsia="仿宋" w:cs="仿宋"/>
          <w:sz w:val="30"/>
          <w:szCs w:val="30"/>
        </w:rPr>
        <w:t xml:space="preserve">因国污普办技术条件和计划时间变更，普查项目未按原计划完成。 </w:t>
      </w:r>
    </w:p>
    <w:p>
      <w:pPr>
        <w:spacing w:line="560" w:lineRule="exact"/>
        <w:ind w:firstLine="602" w:firstLineChars="200"/>
        <w:rPr>
          <w:rFonts w:ascii="仿宋" w:hAnsi="仿宋" w:eastAsia="仿宋" w:cs="仿宋"/>
          <w:sz w:val="30"/>
          <w:szCs w:val="30"/>
        </w:rPr>
      </w:pPr>
      <w:r>
        <w:rPr>
          <w:rFonts w:hint="eastAsia" w:ascii="仿宋" w:hAnsi="仿宋" w:eastAsia="仿宋" w:cs="仿宋"/>
          <w:b/>
          <w:bCs/>
          <w:sz w:val="30"/>
          <w:szCs w:val="30"/>
        </w:rPr>
        <w:t>建议：</w:t>
      </w:r>
      <w:r>
        <w:rPr>
          <w:rFonts w:hint="eastAsia" w:ascii="仿宋" w:hAnsi="仿宋" w:eastAsia="仿宋" w:cs="仿宋"/>
          <w:sz w:val="30"/>
          <w:szCs w:val="30"/>
        </w:rPr>
        <w:t>目前我局依据国家污普最新计划进度持续进行，力争合同完成支付进度与工作进度同步，使该项目顺利推进，达到预期。</w:t>
      </w:r>
    </w:p>
    <w:p>
      <w:pPr>
        <w:spacing w:line="560" w:lineRule="exact"/>
        <w:ind w:firstLine="600" w:firstLineChars="200"/>
        <w:rPr>
          <w:rFonts w:ascii="仿宋" w:hAnsi="仿宋" w:eastAsia="仿宋" w:cs="仿宋"/>
          <w:sz w:val="30"/>
          <w:szCs w:val="30"/>
        </w:rPr>
      </w:pPr>
    </w:p>
    <w:p>
      <w:pPr>
        <w:pStyle w:val="2"/>
        <w:ind w:left="480"/>
        <w:rPr>
          <w:rFonts w:ascii="仿宋" w:hAnsi="仿宋" w:eastAsia="仿宋" w:cs="仿宋"/>
          <w:sz w:val="30"/>
          <w:szCs w:val="30"/>
        </w:rPr>
      </w:pPr>
    </w:p>
    <w:p>
      <w:pPr>
        <w:pStyle w:val="2"/>
        <w:ind w:left="480"/>
        <w:jc w:val="right"/>
        <w:rPr>
          <w:rFonts w:ascii="仿宋" w:hAnsi="仿宋" w:eastAsia="仿宋" w:cs="仿宋"/>
          <w:sz w:val="30"/>
          <w:szCs w:val="30"/>
        </w:rPr>
      </w:pPr>
      <w:r>
        <w:rPr>
          <w:rFonts w:hint="eastAsia" w:ascii="仿宋" w:hAnsi="仿宋" w:eastAsia="仿宋" w:cs="仿宋"/>
          <w:sz w:val="30"/>
          <w:szCs w:val="30"/>
        </w:rPr>
        <w:t>2019年7月20日</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E0ZmE0NmQ5NmFhNjhlOTdiY2NhNTRhNDQyZTE0ZjAifQ=="/>
  </w:docVars>
  <w:rsids>
    <w:rsidRoot w:val="00BF7BBE"/>
    <w:rsid w:val="000C1045"/>
    <w:rsid w:val="000D1DE7"/>
    <w:rsid w:val="000E2D30"/>
    <w:rsid w:val="00150D66"/>
    <w:rsid w:val="00197B5B"/>
    <w:rsid w:val="001B4EFA"/>
    <w:rsid w:val="002636CC"/>
    <w:rsid w:val="002804A9"/>
    <w:rsid w:val="003B6FAE"/>
    <w:rsid w:val="00426A27"/>
    <w:rsid w:val="004A2707"/>
    <w:rsid w:val="004F3977"/>
    <w:rsid w:val="00565CE6"/>
    <w:rsid w:val="0058313F"/>
    <w:rsid w:val="005D1040"/>
    <w:rsid w:val="006313E7"/>
    <w:rsid w:val="00683A20"/>
    <w:rsid w:val="00761211"/>
    <w:rsid w:val="00852A7A"/>
    <w:rsid w:val="008A2AC1"/>
    <w:rsid w:val="00914B09"/>
    <w:rsid w:val="00A90816"/>
    <w:rsid w:val="00A93600"/>
    <w:rsid w:val="00AC2576"/>
    <w:rsid w:val="00BD5664"/>
    <w:rsid w:val="00BE11AB"/>
    <w:rsid w:val="00BF7BBE"/>
    <w:rsid w:val="00C51973"/>
    <w:rsid w:val="00CE5365"/>
    <w:rsid w:val="00CF1D1A"/>
    <w:rsid w:val="00D0672D"/>
    <w:rsid w:val="00DF3F2C"/>
    <w:rsid w:val="00E8704E"/>
    <w:rsid w:val="00EF35B7"/>
    <w:rsid w:val="00F241B2"/>
    <w:rsid w:val="00FF48AE"/>
    <w:rsid w:val="2227656D"/>
    <w:rsid w:val="47F9242C"/>
    <w:rsid w:val="62E30FB0"/>
    <w:rsid w:val="71C977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qFormat="1" w:uiPriority="99"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Times New Roman" w:hAnsi="Times New Roman" w:eastAsia="宋体" w:cstheme="minorBidi"/>
      <w:kern w:val="2"/>
      <w:sz w:val="24"/>
      <w:szCs w:val="24"/>
      <w:lang w:val="en-US" w:eastAsia="zh-CN" w:bidi="ar-SA"/>
    </w:rPr>
  </w:style>
  <w:style w:type="paragraph" w:styleId="4">
    <w:name w:val="heading 1"/>
    <w:basedOn w:val="1"/>
    <w:next w:val="1"/>
    <w:link w:val="26"/>
    <w:qFormat/>
    <w:uiPriority w:val="9"/>
    <w:pPr>
      <w:keepNext/>
      <w:keepLines/>
      <w:spacing w:line="578" w:lineRule="auto"/>
      <w:outlineLvl w:val="0"/>
    </w:pPr>
    <w:rPr>
      <w:rFonts w:cs="Calibri"/>
      <w:b/>
      <w:bCs/>
      <w:kern w:val="44"/>
      <w:sz w:val="36"/>
      <w:szCs w:val="44"/>
    </w:rPr>
  </w:style>
  <w:style w:type="paragraph" w:styleId="5">
    <w:name w:val="heading 2"/>
    <w:basedOn w:val="1"/>
    <w:next w:val="1"/>
    <w:link w:val="30"/>
    <w:unhideWhenUsed/>
    <w:qFormat/>
    <w:uiPriority w:val="9"/>
    <w:pPr>
      <w:keepNext/>
      <w:keepLines/>
      <w:spacing w:line="415" w:lineRule="auto"/>
      <w:outlineLvl w:val="1"/>
    </w:pPr>
    <w:rPr>
      <w:rFonts w:asciiTheme="majorHAnsi" w:hAnsiTheme="majorHAnsi" w:cstheme="majorBidi"/>
      <w:b/>
      <w:bCs/>
      <w:sz w:val="32"/>
      <w:szCs w:val="32"/>
    </w:rPr>
  </w:style>
  <w:style w:type="paragraph" w:styleId="6">
    <w:name w:val="heading 3"/>
    <w:basedOn w:val="1"/>
    <w:next w:val="1"/>
    <w:link w:val="31"/>
    <w:unhideWhenUsed/>
    <w:qFormat/>
    <w:uiPriority w:val="9"/>
    <w:pPr>
      <w:keepNext/>
      <w:keepLines/>
      <w:spacing w:line="415" w:lineRule="auto"/>
      <w:outlineLvl w:val="2"/>
    </w:pPr>
    <w:rPr>
      <w:rFonts w:cs="Calibri"/>
      <w:b/>
      <w:bCs/>
      <w:sz w:val="30"/>
      <w:szCs w:val="32"/>
    </w:rPr>
  </w:style>
  <w:style w:type="paragraph" w:styleId="7">
    <w:name w:val="heading 4"/>
    <w:basedOn w:val="1"/>
    <w:next w:val="1"/>
    <w:link w:val="32"/>
    <w:unhideWhenUsed/>
    <w:qFormat/>
    <w:uiPriority w:val="9"/>
    <w:pPr>
      <w:keepNext/>
      <w:keepLines/>
      <w:spacing w:line="377" w:lineRule="auto"/>
      <w:outlineLvl w:val="3"/>
    </w:pPr>
    <w:rPr>
      <w:rFonts w:asciiTheme="majorHAnsi" w:hAnsiTheme="majorHAnsi" w:eastAsiaTheme="majorEastAsia" w:cstheme="majorBidi"/>
      <w:b/>
      <w:bCs/>
      <w:sz w:val="28"/>
      <w:szCs w:val="28"/>
    </w:rPr>
  </w:style>
  <w:style w:type="paragraph" w:styleId="8">
    <w:name w:val="heading 5"/>
    <w:basedOn w:val="1"/>
    <w:next w:val="1"/>
    <w:link w:val="33"/>
    <w:unhideWhenUsed/>
    <w:qFormat/>
    <w:uiPriority w:val="9"/>
    <w:pPr>
      <w:keepNext/>
      <w:keepLines/>
      <w:spacing w:before="280" w:after="290" w:line="376" w:lineRule="auto"/>
      <w:outlineLvl w:val="4"/>
    </w:pPr>
    <w:rPr>
      <w:rFonts w:cs="Calibri"/>
      <w:b/>
      <w:bCs/>
      <w:sz w:val="28"/>
      <w:szCs w:val="28"/>
    </w:rPr>
  </w:style>
  <w:style w:type="character" w:default="1" w:styleId="19">
    <w:name w:val="Default Paragraph Font"/>
    <w:semiHidden/>
    <w:unhideWhenUsed/>
    <w:uiPriority w:val="1"/>
  </w:style>
  <w:style w:type="table" w:default="1" w:styleId="18">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link w:val="40"/>
    <w:unhideWhenUsed/>
    <w:qFormat/>
    <w:uiPriority w:val="99"/>
    <w:pPr>
      <w:autoSpaceDE w:val="0"/>
      <w:autoSpaceDN w:val="0"/>
      <w:adjustRightInd w:val="0"/>
      <w:ind w:left="200"/>
      <w:jc w:val="left"/>
    </w:pPr>
    <w:rPr>
      <w:rFonts w:cs="Calibri"/>
      <w:kern w:val="0"/>
      <w:sz w:val="20"/>
    </w:rPr>
  </w:style>
  <w:style w:type="paragraph" w:styleId="3">
    <w:name w:val="Body Text Indent"/>
    <w:basedOn w:val="1"/>
    <w:link w:val="39"/>
    <w:semiHidden/>
    <w:unhideWhenUsed/>
    <w:qFormat/>
    <w:uiPriority w:val="99"/>
    <w:pPr>
      <w:spacing w:after="120"/>
      <w:ind w:left="420" w:leftChars="200"/>
    </w:pPr>
  </w:style>
  <w:style w:type="paragraph" w:styleId="9">
    <w:name w:val="Normal Indent"/>
    <w:basedOn w:val="1"/>
    <w:semiHidden/>
    <w:unhideWhenUsed/>
    <w:qFormat/>
    <w:uiPriority w:val="99"/>
    <w:pPr>
      <w:ind w:firstLine="420" w:firstLineChars="200"/>
    </w:pPr>
  </w:style>
  <w:style w:type="paragraph" w:styleId="10">
    <w:name w:val="Body Text"/>
    <w:basedOn w:val="1"/>
    <w:link w:val="37"/>
    <w:unhideWhenUsed/>
    <w:uiPriority w:val="99"/>
    <w:pPr>
      <w:spacing w:after="120"/>
    </w:pPr>
    <w:rPr>
      <w:rFonts w:cs="Calibri"/>
      <w:kern w:val="0"/>
      <w:sz w:val="20"/>
    </w:rPr>
  </w:style>
  <w:style w:type="paragraph" w:styleId="11">
    <w:name w:val="Plain Text"/>
    <w:basedOn w:val="1"/>
    <w:link w:val="43"/>
    <w:qFormat/>
    <w:uiPriority w:val="99"/>
    <w:rPr>
      <w:rFonts w:ascii="宋体" w:hAnsi="Courier New" w:cs="Courier New"/>
      <w:kern w:val="0"/>
      <w:sz w:val="20"/>
      <w:szCs w:val="21"/>
    </w:rPr>
  </w:style>
  <w:style w:type="paragraph" w:styleId="12">
    <w:name w:val="Balloon Text"/>
    <w:basedOn w:val="1"/>
    <w:link w:val="44"/>
    <w:unhideWhenUsed/>
    <w:qFormat/>
    <w:uiPriority w:val="99"/>
    <w:rPr>
      <w:rFonts w:cs="Calibri"/>
      <w:kern w:val="0"/>
      <w:sz w:val="18"/>
      <w:szCs w:val="18"/>
    </w:rPr>
  </w:style>
  <w:style w:type="paragraph" w:styleId="13">
    <w:name w:val="footer"/>
    <w:basedOn w:val="1"/>
    <w:link w:val="36"/>
    <w:unhideWhenUsed/>
    <w:qFormat/>
    <w:uiPriority w:val="99"/>
    <w:pPr>
      <w:tabs>
        <w:tab w:val="center" w:pos="4153"/>
        <w:tab w:val="right" w:pos="8306"/>
      </w:tabs>
      <w:snapToGrid w:val="0"/>
      <w:jc w:val="left"/>
    </w:pPr>
    <w:rPr>
      <w:rFonts w:asciiTheme="minorHAnsi" w:hAnsiTheme="minorHAnsi" w:eastAsiaTheme="minorEastAsia"/>
      <w:kern w:val="0"/>
      <w:sz w:val="18"/>
      <w:szCs w:val="18"/>
    </w:rPr>
  </w:style>
  <w:style w:type="paragraph" w:styleId="14">
    <w:name w:val="header"/>
    <w:basedOn w:val="1"/>
    <w:link w:val="35"/>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kern w:val="0"/>
      <w:sz w:val="18"/>
      <w:szCs w:val="18"/>
    </w:rPr>
  </w:style>
  <w:style w:type="paragraph" w:styleId="15">
    <w:name w:val="Subtitle"/>
    <w:basedOn w:val="1"/>
    <w:next w:val="1"/>
    <w:link w:val="38"/>
    <w:qFormat/>
    <w:uiPriority w:val="11"/>
    <w:pPr>
      <w:spacing w:before="240" w:after="60" w:line="312" w:lineRule="auto"/>
      <w:jc w:val="center"/>
      <w:outlineLvl w:val="1"/>
    </w:pPr>
    <w:rPr>
      <w:rFonts w:asciiTheme="majorHAnsi" w:hAnsiTheme="majorHAnsi" w:cstheme="majorBidi"/>
      <w:b/>
      <w:bCs/>
      <w:kern w:val="28"/>
      <w:sz w:val="32"/>
      <w:szCs w:val="32"/>
    </w:rPr>
  </w:style>
  <w:style w:type="paragraph" w:styleId="16">
    <w:name w:val="Body Text Indent 3"/>
    <w:basedOn w:val="1"/>
    <w:link w:val="41"/>
    <w:unhideWhenUsed/>
    <w:qFormat/>
    <w:uiPriority w:val="99"/>
    <w:pPr>
      <w:spacing w:after="120"/>
      <w:ind w:left="420" w:leftChars="200"/>
    </w:pPr>
    <w:rPr>
      <w:rFonts w:cs="Calibri"/>
      <w:kern w:val="0"/>
      <w:sz w:val="16"/>
      <w:szCs w:val="16"/>
    </w:rPr>
  </w:style>
  <w:style w:type="paragraph" w:styleId="17">
    <w:name w:val="Normal (Web)"/>
    <w:basedOn w:val="1"/>
    <w:unhideWhenUsed/>
    <w:qFormat/>
    <w:uiPriority w:val="99"/>
    <w:rPr>
      <w:rFonts w:cs="Times New Roman"/>
    </w:rPr>
  </w:style>
  <w:style w:type="character" w:styleId="20">
    <w:name w:val="Strong"/>
    <w:basedOn w:val="19"/>
    <w:qFormat/>
    <w:uiPriority w:val="22"/>
    <w:rPr>
      <w:b/>
      <w:bCs/>
    </w:rPr>
  </w:style>
  <w:style w:type="character" w:styleId="21">
    <w:name w:val="page number"/>
    <w:basedOn w:val="19"/>
    <w:uiPriority w:val="0"/>
  </w:style>
  <w:style w:type="character" w:customStyle="1" w:styleId="22">
    <w:name w:val="页脚 Char"/>
    <w:uiPriority w:val="0"/>
    <w:rPr>
      <w:rFonts w:eastAsia="宋体"/>
      <w:kern w:val="2"/>
      <w:sz w:val="18"/>
      <w:szCs w:val="18"/>
      <w:lang w:val="en-US" w:eastAsia="zh-CN" w:bidi="ar-SA"/>
    </w:rPr>
  </w:style>
  <w:style w:type="character" w:customStyle="1" w:styleId="23">
    <w:name w:val="纯文本 字符"/>
    <w:basedOn w:val="19"/>
    <w:qFormat/>
    <w:uiPriority w:val="0"/>
    <w:rPr>
      <w:rFonts w:hAnsi="Courier New" w:cs="Courier New" w:asciiTheme="minorEastAsia"/>
      <w:szCs w:val="24"/>
    </w:rPr>
  </w:style>
  <w:style w:type="paragraph" w:customStyle="1" w:styleId="24">
    <w:name w:val="列出段落1"/>
    <w:basedOn w:val="1"/>
    <w:uiPriority w:val="34"/>
    <w:pPr>
      <w:ind w:firstLine="420" w:firstLineChars="200"/>
    </w:pPr>
    <w:rPr>
      <w:rFonts w:cs="Calibri"/>
    </w:rPr>
  </w:style>
  <w:style w:type="paragraph" w:customStyle="1" w:styleId="25">
    <w:name w:val="TOC 标题1"/>
    <w:basedOn w:val="4"/>
    <w:next w:val="1"/>
    <w:unhideWhenUsed/>
    <w:uiPriority w:val="39"/>
    <w:pPr>
      <w:widowControl/>
      <w:spacing w:before="24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26">
    <w:name w:val="标题 1 Char"/>
    <w:basedOn w:val="19"/>
    <w:link w:val="4"/>
    <w:qFormat/>
    <w:uiPriority w:val="9"/>
    <w:rPr>
      <w:rFonts w:ascii="Times New Roman" w:hAnsi="Times New Roman" w:eastAsia="宋体" w:cs="Calibri"/>
      <w:b/>
      <w:bCs/>
      <w:kern w:val="44"/>
      <w:sz w:val="36"/>
      <w:szCs w:val="44"/>
    </w:rPr>
  </w:style>
  <w:style w:type="paragraph" w:customStyle="1" w:styleId="27">
    <w:name w:val="lp1"/>
    <w:basedOn w:val="1"/>
    <w:next w:val="24"/>
    <w:qFormat/>
    <w:uiPriority w:val="34"/>
    <w:pPr>
      <w:ind w:firstLine="420" w:firstLineChars="200"/>
    </w:pPr>
    <w:rPr>
      <w:rFonts w:cs="Times New Roman"/>
      <w:kern w:val="0"/>
      <w:lang w:val="zh-CN"/>
    </w:rPr>
  </w:style>
  <w:style w:type="character" w:customStyle="1" w:styleId="28">
    <w:name w:val="列出段落 Char"/>
    <w:link w:val="29"/>
    <w:qFormat/>
    <w:uiPriority w:val="0"/>
    <w:rPr>
      <w:rFonts w:ascii="Times New Roman" w:hAnsi="Times New Roman" w:eastAsia="宋体" w:cs="Times New Roman"/>
      <w:sz w:val="24"/>
      <w:szCs w:val="24"/>
    </w:rPr>
  </w:style>
  <w:style w:type="paragraph" w:styleId="29">
    <w:name w:val="List Paragraph"/>
    <w:basedOn w:val="1"/>
    <w:link w:val="28"/>
    <w:qFormat/>
    <w:uiPriority w:val="0"/>
    <w:pPr>
      <w:spacing w:line="240" w:lineRule="auto"/>
      <w:ind w:firstLine="420" w:firstLineChars="200"/>
    </w:pPr>
    <w:rPr>
      <w:rFonts w:cs="Times New Roman"/>
    </w:rPr>
  </w:style>
  <w:style w:type="character" w:customStyle="1" w:styleId="30">
    <w:name w:val="标题 2 Char"/>
    <w:basedOn w:val="19"/>
    <w:link w:val="5"/>
    <w:qFormat/>
    <w:uiPriority w:val="9"/>
    <w:rPr>
      <w:rFonts w:eastAsia="宋体" w:asciiTheme="majorHAnsi" w:hAnsiTheme="majorHAnsi" w:cstheme="majorBidi"/>
      <w:b/>
      <w:bCs/>
      <w:sz w:val="32"/>
      <w:szCs w:val="32"/>
    </w:rPr>
  </w:style>
  <w:style w:type="character" w:customStyle="1" w:styleId="31">
    <w:name w:val="标题 3 Char"/>
    <w:basedOn w:val="19"/>
    <w:link w:val="6"/>
    <w:uiPriority w:val="9"/>
    <w:rPr>
      <w:rFonts w:ascii="Times New Roman" w:hAnsi="Times New Roman" w:eastAsia="宋体" w:cs="Calibri"/>
      <w:b/>
      <w:bCs/>
      <w:sz w:val="30"/>
      <w:szCs w:val="32"/>
    </w:rPr>
  </w:style>
  <w:style w:type="character" w:customStyle="1" w:styleId="32">
    <w:name w:val="标题 4 Char"/>
    <w:basedOn w:val="19"/>
    <w:link w:val="7"/>
    <w:qFormat/>
    <w:uiPriority w:val="9"/>
    <w:rPr>
      <w:rFonts w:asciiTheme="majorHAnsi" w:hAnsiTheme="majorHAnsi" w:eastAsiaTheme="majorEastAsia" w:cstheme="majorBidi"/>
      <w:b/>
      <w:bCs/>
      <w:sz w:val="28"/>
      <w:szCs w:val="28"/>
    </w:rPr>
  </w:style>
  <w:style w:type="character" w:customStyle="1" w:styleId="33">
    <w:name w:val="标题 5 Char"/>
    <w:basedOn w:val="19"/>
    <w:link w:val="8"/>
    <w:uiPriority w:val="9"/>
    <w:rPr>
      <w:rFonts w:ascii="Times New Roman" w:hAnsi="Times New Roman" w:eastAsia="宋体" w:cs="Calibri"/>
      <w:b/>
      <w:bCs/>
      <w:sz w:val="28"/>
      <w:szCs w:val="28"/>
    </w:rPr>
  </w:style>
  <w:style w:type="character" w:customStyle="1" w:styleId="34">
    <w:name w:val="页眉 Char"/>
    <w:basedOn w:val="19"/>
    <w:semiHidden/>
    <w:qFormat/>
    <w:uiPriority w:val="99"/>
    <w:rPr>
      <w:rFonts w:ascii="Times New Roman" w:hAnsi="Times New Roman" w:eastAsia="宋体"/>
      <w:kern w:val="2"/>
      <w:sz w:val="18"/>
      <w:szCs w:val="18"/>
    </w:rPr>
  </w:style>
  <w:style w:type="character" w:customStyle="1" w:styleId="35">
    <w:name w:val="页眉 Char1"/>
    <w:basedOn w:val="19"/>
    <w:link w:val="14"/>
    <w:qFormat/>
    <w:uiPriority w:val="99"/>
    <w:rPr>
      <w:sz w:val="18"/>
      <w:szCs w:val="18"/>
    </w:rPr>
  </w:style>
  <w:style w:type="character" w:customStyle="1" w:styleId="36">
    <w:name w:val="页脚 Char1"/>
    <w:basedOn w:val="19"/>
    <w:link w:val="13"/>
    <w:qFormat/>
    <w:uiPriority w:val="99"/>
    <w:rPr>
      <w:sz w:val="18"/>
      <w:szCs w:val="18"/>
    </w:rPr>
  </w:style>
  <w:style w:type="character" w:customStyle="1" w:styleId="37">
    <w:name w:val="正文文本 Char"/>
    <w:basedOn w:val="19"/>
    <w:link w:val="10"/>
    <w:uiPriority w:val="99"/>
    <w:rPr>
      <w:rFonts w:ascii="Times New Roman" w:hAnsi="Times New Roman" w:eastAsia="宋体" w:cs="Calibri"/>
      <w:szCs w:val="24"/>
    </w:rPr>
  </w:style>
  <w:style w:type="character" w:customStyle="1" w:styleId="38">
    <w:name w:val="副标题 Char"/>
    <w:basedOn w:val="19"/>
    <w:link w:val="15"/>
    <w:uiPriority w:val="11"/>
    <w:rPr>
      <w:rFonts w:eastAsia="宋体" w:asciiTheme="majorHAnsi" w:hAnsiTheme="majorHAnsi" w:cstheme="majorBidi"/>
      <w:b/>
      <w:bCs/>
      <w:kern w:val="28"/>
      <w:sz w:val="32"/>
      <w:szCs w:val="32"/>
    </w:rPr>
  </w:style>
  <w:style w:type="character" w:customStyle="1" w:styleId="39">
    <w:name w:val="正文文本缩进 Char"/>
    <w:basedOn w:val="19"/>
    <w:link w:val="3"/>
    <w:semiHidden/>
    <w:qFormat/>
    <w:uiPriority w:val="99"/>
    <w:rPr>
      <w:rFonts w:ascii="Times New Roman" w:hAnsi="Times New Roman" w:eastAsia="宋体"/>
      <w:kern w:val="2"/>
      <w:sz w:val="21"/>
      <w:szCs w:val="24"/>
    </w:rPr>
  </w:style>
  <w:style w:type="character" w:customStyle="1" w:styleId="40">
    <w:name w:val="正文首行缩进 2 Char"/>
    <w:basedOn w:val="39"/>
    <w:link w:val="2"/>
    <w:qFormat/>
    <w:uiPriority w:val="99"/>
    <w:rPr>
      <w:rFonts w:ascii="Times New Roman" w:hAnsi="Times New Roman" w:eastAsia="宋体" w:cs="Calibri"/>
      <w:kern w:val="2"/>
      <w:sz w:val="21"/>
      <w:szCs w:val="24"/>
    </w:rPr>
  </w:style>
  <w:style w:type="character" w:customStyle="1" w:styleId="41">
    <w:name w:val="正文文本缩进 3 Char"/>
    <w:basedOn w:val="19"/>
    <w:link w:val="16"/>
    <w:qFormat/>
    <w:uiPriority w:val="99"/>
    <w:rPr>
      <w:rFonts w:ascii="Times New Roman" w:hAnsi="Times New Roman" w:eastAsia="宋体" w:cs="Calibri"/>
      <w:sz w:val="16"/>
      <w:szCs w:val="16"/>
    </w:rPr>
  </w:style>
  <w:style w:type="character" w:customStyle="1" w:styleId="42">
    <w:name w:val="纯文本 Char"/>
    <w:basedOn w:val="19"/>
    <w:semiHidden/>
    <w:qFormat/>
    <w:uiPriority w:val="99"/>
    <w:rPr>
      <w:rFonts w:ascii="宋体" w:hAnsi="Courier New" w:eastAsia="宋体" w:cs="Courier New"/>
      <w:kern w:val="2"/>
      <w:sz w:val="21"/>
      <w:szCs w:val="21"/>
    </w:rPr>
  </w:style>
  <w:style w:type="character" w:customStyle="1" w:styleId="43">
    <w:name w:val="纯文本 Char1"/>
    <w:link w:val="11"/>
    <w:qFormat/>
    <w:locked/>
    <w:uiPriority w:val="99"/>
    <w:rPr>
      <w:rFonts w:ascii="宋体" w:hAnsi="Courier New" w:eastAsia="宋体" w:cs="Courier New"/>
      <w:szCs w:val="21"/>
    </w:rPr>
  </w:style>
  <w:style w:type="character" w:customStyle="1" w:styleId="44">
    <w:name w:val="批注框文本 Char"/>
    <w:basedOn w:val="19"/>
    <w:link w:val="12"/>
    <w:qFormat/>
    <w:uiPriority w:val="99"/>
    <w:rPr>
      <w:rFonts w:ascii="Times New Roman" w:hAnsi="Times New Roman" w:eastAsia="宋体" w:cs="Calibri"/>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6</Pages>
  <Words>2645</Words>
  <Characters>2733</Characters>
  <Lines>19</Lines>
  <Paragraphs>5</Paragraphs>
  <TotalTime>41</TotalTime>
  <ScaleCrop>false</ScaleCrop>
  <LinksUpToDate>false</LinksUpToDate>
  <CharactersWithSpaces>2734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2019-07-10T03:25:00Z</dcterms:created>
  <dc:creator>Hom</dc:creator>
  <cp:lastModifiedBy>luzhibin</cp:lastModifiedBy>
  <dcterms:modified xsi:type="dcterms:W3CDTF">2024-06-20T03:21:40Z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4E5E1BA1E6914BB18A6C873678B44963_12</vt:lpwstr>
  </property>
</Properties>
</file>