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both"/>
        <w:textAlignment w:val="baseline"/>
        <w:rPr>
          <w:rStyle w:val="6"/>
          <w:rFonts w:ascii="宋体" w:hAnsi="宋体" w:eastAsia="宋体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宋体" w:hAnsi="宋体" w:eastAsia="宋体"/>
          <w:kern w:val="0"/>
          <w:sz w:val="32"/>
          <w:szCs w:val="32"/>
          <w:lang w:val="en-US" w:eastAsia="zh-CN" w:bidi="ar-SA"/>
        </w:rPr>
        <w:t xml:space="preserve">                         </w:t>
      </w:r>
    </w:p>
    <w:p>
      <w:pPr>
        <w:jc w:val="both"/>
        <w:textAlignment w:val="baseline"/>
        <w:rPr>
          <w:rStyle w:val="6"/>
          <w:rFonts w:ascii="宋体" w:hAnsi="宋体" w:eastAsia="宋体"/>
          <w:kern w:val="2"/>
          <w:sz w:val="32"/>
          <w:szCs w:val="32"/>
          <w:lang w:val="en-US" w:eastAsia="zh-CN" w:bidi="ar-SA"/>
        </w:rPr>
      </w:pPr>
    </w:p>
    <w:p>
      <w:pPr>
        <w:ind w:firstLine="640"/>
        <w:jc w:val="both"/>
        <w:textAlignment w:val="baseline"/>
        <w:rPr>
          <w:rStyle w:val="6"/>
          <w:rFonts w:ascii="宋体" w:hAnsi="宋体" w:eastAsia="宋体"/>
          <w:kern w:val="2"/>
          <w:sz w:val="32"/>
          <w:szCs w:val="32"/>
          <w:lang w:val="en-US" w:eastAsia="zh-CN" w:bidi="ar-SA"/>
        </w:rPr>
      </w:pPr>
    </w:p>
    <w:p>
      <w:pPr>
        <w:jc w:val="center"/>
        <w:textAlignment w:val="baseline"/>
        <w:rPr>
          <w:rStyle w:val="6"/>
          <w:rFonts w:ascii="楷体_GB2312" w:hAnsi="Calibri" w:eastAsia="楷体_GB2312"/>
          <w:kern w:val="0"/>
          <w:sz w:val="44"/>
          <w:szCs w:val="44"/>
          <w:lang w:val="en-US" w:eastAsia="zh-CN" w:bidi="ar-SA"/>
        </w:rPr>
      </w:pPr>
      <w:r>
        <w:rPr>
          <w:rStyle w:val="6"/>
          <w:rFonts w:ascii="楷体_GB2312" w:hAnsi="Calibri" w:eastAsia="楷体_GB2312"/>
          <w:kern w:val="0"/>
          <w:sz w:val="44"/>
          <w:szCs w:val="44"/>
          <w:lang w:val="en-US" w:eastAsia="zh-CN" w:bidi="ar-SA"/>
        </w:rPr>
        <w:t>江西省行政执法统计年报格式</w:t>
      </w:r>
    </w:p>
    <w:p>
      <w:pPr>
        <w:jc w:val="center"/>
        <w:textAlignment w:val="baseline"/>
        <w:rPr>
          <w:rStyle w:val="6"/>
          <w:rFonts w:ascii="楷体_GB2312" w:hAnsi="Calibri" w:eastAsia="楷体_GB2312"/>
          <w:kern w:val="0"/>
          <w:sz w:val="44"/>
          <w:szCs w:val="44"/>
          <w:lang w:val="en-US" w:eastAsia="zh-CN" w:bidi="ar-SA"/>
        </w:rPr>
      </w:pPr>
    </w:p>
    <w:p>
      <w:pPr>
        <w:jc w:val="center"/>
        <w:textAlignment w:val="baseline"/>
        <w:rPr>
          <w:rStyle w:val="6"/>
          <w:rFonts w:ascii="黑体" w:hAnsi="黑体" w:eastAsia="黑体"/>
          <w:kern w:val="0"/>
          <w:sz w:val="44"/>
          <w:szCs w:val="44"/>
          <w:lang w:val="en-US" w:eastAsia="zh-CN" w:bidi="ar-SA"/>
        </w:rPr>
      </w:pPr>
      <w:r>
        <w:rPr>
          <w:rStyle w:val="6"/>
          <w:rFonts w:hint="eastAsia" w:ascii="黑体" w:hAnsi="黑体" w:eastAsia="黑体"/>
          <w:kern w:val="0"/>
          <w:sz w:val="44"/>
          <w:szCs w:val="44"/>
          <w:u w:val="none"/>
          <w:lang w:val="en-US" w:eastAsia="zh-CN" w:bidi="ar-SA"/>
        </w:rPr>
        <w:t>赣州市交通运输局</w:t>
      </w:r>
      <w:r>
        <w:rPr>
          <w:rStyle w:val="6"/>
          <w:rFonts w:hint="eastAsia" w:ascii="黑体" w:hAnsi="黑体" w:eastAsia="黑体"/>
          <w:kern w:val="0"/>
          <w:sz w:val="44"/>
          <w:szCs w:val="44"/>
          <w:lang w:val="en-US" w:eastAsia="zh-CN" w:bidi="ar-SA"/>
        </w:rPr>
        <w:t>2019</w:t>
      </w:r>
      <w:r>
        <w:rPr>
          <w:rStyle w:val="6"/>
          <w:rFonts w:ascii="黑体" w:hAnsi="黑体" w:eastAsia="黑体"/>
          <w:kern w:val="0"/>
          <w:sz w:val="44"/>
          <w:szCs w:val="44"/>
          <w:lang w:val="en-US" w:eastAsia="zh-CN" w:bidi="ar-SA"/>
        </w:rPr>
        <w:t>年度行政执法数据</w:t>
      </w:r>
    </w:p>
    <w:p>
      <w:pPr>
        <w:jc w:val="center"/>
        <w:textAlignment w:val="baseline"/>
        <w:rPr>
          <w:rStyle w:val="6"/>
          <w:rFonts w:ascii="黑体" w:hAnsi="黑体" w:eastAsia="黑体"/>
          <w:kern w:val="0"/>
          <w:sz w:val="32"/>
          <w:szCs w:val="32"/>
          <w:lang w:val="en-US" w:eastAsia="zh-CN" w:bidi="ar-SA"/>
        </w:rPr>
      </w:pPr>
    </w:p>
    <w:p>
      <w:pPr>
        <w:jc w:val="center"/>
        <w:textAlignment w:val="baseline"/>
        <w:rPr>
          <w:rStyle w:val="6"/>
          <w:rFonts w:ascii="黑体" w:hAnsi="黑体" w:eastAsia="黑体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黑体" w:hAnsi="黑体" w:eastAsia="黑体"/>
          <w:kern w:val="0"/>
          <w:sz w:val="32"/>
          <w:szCs w:val="32"/>
          <w:lang w:val="en-US" w:eastAsia="zh-CN" w:bidi="ar-SA"/>
        </w:rPr>
        <w:t>目录</w:t>
      </w:r>
    </w:p>
    <w:p>
      <w:pPr>
        <w:jc w:val="center"/>
        <w:textAlignment w:val="baseline"/>
        <w:rPr>
          <w:rStyle w:val="6"/>
          <w:rFonts w:ascii="黑体" w:hAnsi="黑体" w:eastAsia="黑体"/>
          <w:kern w:val="0"/>
          <w:sz w:val="32"/>
          <w:szCs w:val="32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  <w:t>一、行政许可实施情况统计表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  <w:t>二、行政处罚实施情况统计表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  <w:t>三、行政强制实施情况统计表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  <w:t>四、行政征收实施情况统计表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  <w:t>五、行政征用实施情况统计表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  <w:t>六、行政检查实施情况统计表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color w:val="000000"/>
          <w:kern w:val="0"/>
          <w:sz w:val="32"/>
          <w:szCs w:val="32"/>
          <w:lang w:val="en-US" w:eastAsia="zh-CN" w:bidi="ar-SA"/>
        </w:rPr>
        <w:sectPr>
          <w:footerReference r:id="rId3" w:type="default"/>
          <w:pgSz w:w="11906" w:h="16838"/>
          <w:pgMar w:top="1440" w:right="1406" w:bottom="1440" w:left="1519" w:header="851" w:footer="992" w:gutter="0"/>
          <w:lnNumType w:countBy="0"/>
          <w:cols w:space="720" w:num="1"/>
          <w:vAlign w:val="top"/>
          <w:docGrid w:type="lines" w:linePitch="312" w:charSpace="0"/>
        </w:sectPr>
      </w:pPr>
    </w:p>
    <w:p>
      <w:pPr>
        <w:jc w:val="left"/>
        <w:textAlignment w:val="baseline"/>
        <w:rPr>
          <w:rStyle w:val="6"/>
          <w:rFonts w:ascii="仿宋_GB2312" w:hAnsi="Calibri" w:eastAsia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Style w:val="6"/>
          <w:rFonts w:ascii="仿宋_GB2312" w:hAnsi="Calibri" w:eastAsia="仿宋_GB2312"/>
          <w:color w:val="000000"/>
          <w:kern w:val="0"/>
          <w:sz w:val="28"/>
          <w:szCs w:val="28"/>
          <w:lang w:val="en-US" w:eastAsia="zh-CN" w:bidi="ar-SA"/>
        </w:rPr>
        <w:t>表一</w:t>
      </w:r>
    </w:p>
    <w:p>
      <w:pPr>
        <w:jc w:val="center"/>
        <w:textAlignment w:val="baseline"/>
        <w:rPr>
          <w:rStyle w:val="6"/>
          <w:rFonts w:ascii="黑体" w:hAnsi="Calibri" w:eastAsia="黑体"/>
          <w:color w:val="000000"/>
          <w:kern w:val="0"/>
          <w:sz w:val="28"/>
          <w:szCs w:val="28"/>
          <w:lang w:val="en-US" w:eastAsia="zh-CN" w:bidi="ar-SA"/>
        </w:rPr>
      </w:pPr>
      <w:r>
        <w:rPr>
          <w:rStyle w:val="6"/>
          <w:rFonts w:hint="eastAsia" w:ascii="黑体" w:hAnsi="黑体" w:eastAsia="黑体"/>
          <w:b w:val="0"/>
          <w:bCs w:val="0"/>
          <w:kern w:val="0"/>
          <w:sz w:val="28"/>
          <w:szCs w:val="28"/>
          <w:u w:val="none"/>
          <w:lang w:val="en-US" w:eastAsia="zh-CN" w:bidi="ar-SA"/>
        </w:rPr>
        <w:t>赣州市交通运输局</w:t>
      </w:r>
      <w:r>
        <w:rPr>
          <w:rStyle w:val="6"/>
          <w:rFonts w:hint="eastAsia" w:ascii="黑体" w:hAnsi="黑体" w:eastAsia="黑体"/>
          <w:b w:val="0"/>
          <w:bCs w:val="0"/>
          <w:kern w:val="0"/>
          <w:sz w:val="28"/>
          <w:szCs w:val="28"/>
          <w:lang w:val="en-US" w:eastAsia="zh-CN" w:bidi="ar-SA"/>
        </w:rPr>
        <w:t>2019</w:t>
      </w:r>
      <w:r>
        <w:rPr>
          <w:rStyle w:val="6"/>
          <w:rFonts w:ascii="黑体" w:hAnsi="Calibri" w:eastAsia="黑体"/>
          <w:color w:val="333333"/>
          <w:kern w:val="0"/>
          <w:sz w:val="28"/>
          <w:szCs w:val="28"/>
          <w:lang w:val="en-US" w:eastAsia="zh-CN" w:bidi="ar-SA"/>
        </w:rPr>
        <w:t>年度</w:t>
      </w:r>
      <w:r>
        <w:rPr>
          <w:rStyle w:val="6"/>
          <w:rFonts w:ascii="黑体" w:hAnsi="Calibri" w:eastAsia="黑体"/>
          <w:color w:val="000000"/>
          <w:kern w:val="0"/>
          <w:sz w:val="28"/>
          <w:szCs w:val="28"/>
          <w:lang w:val="en-US" w:eastAsia="zh-CN" w:bidi="ar-SA"/>
        </w:rPr>
        <w:t>行政许可实施情况统计表</w:t>
      </w:r>
    </w:p>
    <w:tbl>
      <w:tblPr>
        <w:tblStyle w:val="4"/>
        <w:tblW w:w="13869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3421"/>
        <w:gridCol w:w="1864"/>
        <w:gridCol w:w="1650"/>
        <w:gridCol w:w="1736"/>
        <w:gridCol w:w="1677"/>
        <w:gridCol w:w="21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3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序号</w:t>
            </w:r>
          </w:p>
        </w:tc>
        <w:tc>
          <w:tcPr>
            <w:tcW w:w="3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单位名称</w:t>
            </w:r>
          </w:p>
        </w:tc>
        <w:tc>
          <w:tcPr>
            <w:tcW w:w="69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行政许可实施数量（宗）</w:t>
            </w:r>
          </w:p>
        </w:tc>
        <w:tc>
          <w:tcPr>
            <w:tcW w:w="2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撤销许可的数量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申请数量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受理数量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许可的数量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不予许可的</w:t>
            </w:r>
          </w:p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数量</w:t>
            </w:r>
          </w:p>
        </w:tc>
        <w:tc>
          <w:tcPr>
            <w:tcW w:w="2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  <w:t>赣州市交通运输局</w:t>
            </w: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Style w:val="6"/>
                <w:rFonts w:ascii="仿宋_GB2312" w:hAnsi="Calibri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本部）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35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35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35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6"/>
              </w:tabs>
              <w:jc w:val="left"/>
              <w:textAlignment w:val="baseline"/>
              <w:rPr>
                <w:rStyle w:val="6"/>
                <w:rFonts w:hint="eastAsia" w:ascii="黑体" w:hAnsi="Calibri" w:eastAsia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赣州市公路管理局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90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87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87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赣州市道路运输管理局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51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51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51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赣州市港航管理处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赣州市交通工程质量监督站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赣州市地方海事局（船检局）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348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348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348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0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Calibri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525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522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522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</w:tbl>
    <w:p>
      <w:pPr>
        <w:jc w:val="left"/>
        <w:textAlignment w:val="baseline"/>
        <w:rPr>
          <w:rStyle w:val="6"/>
          <w:rFonts w:ascii="仿宋_GB2312" w:hAnsi="Calibri" w:eastAsia="仿宋_GB2312"/>
          <w:color w:val="000000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color w:val="000000"/>
          <w:kern w:val="0"/>
          <w:sz w:val="24"/>
          <w:szCs w:val="24"/>
          <w:lang w:val="en-US" w:eastAsia="zh-CN" w:bidi="ar-SA"/>
        </w:rPr>
        <w:t>说明：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color w:val="000000"/>
          <w:kern w:val="0"/>
          <w:sz w:val="24"/>
          <w:szCs w:val="24"/>
          <w:lang w:val="en-US" w:eastAsia="zh-CN" w:bidi="ar-SA"/>
        </w:rPr>
        <w:t>1.</w:t>
      </w: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“申请数量”的统计范围为统计年度1 月1 日至12 月31 日期间许可机关收到当事人许可申请的数量。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2. “受理数量”、“许可的数量”、“不予许可的数量”、“撤销许可的数量”的统计范围为统计年度1 月1 日至12 月31 日期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间许可机关作出受理决定、许可决定、不予许可决定的数量，以及撤销许可决定的数量。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3. 准予变更、延续和不予变更、延续的数量，分别计入“许可的数量”、“不予许可的数量”。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Style w:val="6"/>
          <w:rFonts w:ascii="仿宋_GB2312" w:hAnsi="Calibri" w:eastAsia="仿宋_GB2312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Style w:val="6"/>
          <w:rFonts w:ascii="仿宋_GB2312" w:hAnsi="Calibri" w:eastAsia="仿宋_GB2312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Style w:val="6"/>
          <w:rFonts w:ascii="仿宋_GB2312" w:hAnsi="Calibri" w:eastAsia="仿宋_GB2312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Style w:val="6"/>
          <w:rFonts w:ascii="仿宋_GB2312" w:hAnsi="Calibri" w:eastAsia="仿宋_GB2312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Style w:val="6"/>
          <w:rFonts w:ascii="仿宋_GB2312" w:hAnsi="Calibri" w:eastAsia="仿宋_GB2312"/>
          <w:color w:val="00000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Style w:val="6"/>
          <w:rFonts w:ascii="仿宋_GB2312" w:hAnsi="Calibri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color w:val="000000"/>
          <w:kern w:val="0"/>
          <w:sz w:val="32"/>
          <w:szCs w:val="32"/>
          <w:lang w:val="en-US" w:eastAsia="zh-CN" w:bidi="ar-SA"/>
        </w:rPr>
        <w:t>表二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Style w:val="6"/>
          <w:rFonts w:ascii="黑体" w:hAnsi="Calibri" w:eastAsia="黑体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黑体" w:hAnsi="黑体" w:eastAsia="黑体"/>
          <w:b w:val="0"/>
          <w:bCs w:val="0"/>
          <w:kern w:val="0"/>
          <w:sz w:val="32"/>
          <w:szCs w:val="32"/>
          <w:u w:val="none"/>
          <w:lang w:val="en-US" w:eastAsia="zh-CN" w:bidi="ar-SA"/>
        </w:rPr>
        <w:t>赣州市交通运输局</w:t>
      </w:r>
      <w:r>
        <w:rPr>
          <w:rStyle w:val="6"/>
          <w:rFonts w:hint="eastAsia" w:ascii="黑体" w:hAnsi="黑体" w:eastAsia="黑体"/>
          <w:b w:val="0"/>
          <w:bCs w:val="0"/>
          <w:kern w:val="0"/>
          <w:sz w:val="32"/>
          <w:szCs w:val="32"/>
          <w:lang w:val="en-US" w:eastAsia="zh-CN" w:bidi="ar-SA"/>
        </w:rPr>
        <w:t>2019</w:t>
      </w:r>
      <w:r>
        <w:rPr>
          <w:rStyle w:val="6"/>
          <w:rFonts w:ascii="黑体" w:hAnsi="Calibri" w:eastAsia="黑体"/>
          <w:color w:val="333333"/>
          <w:kern w:val="0"/>
          <w:sz w:val="32"/>
          <w:szCs w:val="32"/>
          <w:lang w:val="en-US" w:eastAsia="zh-CN" w:bidi="ar-SA"/>
        </w:rPr>
        <w:t>年度</w:t>
      </w:r>
      <w:r>
        <w:rPr>
          <w:rStyle w:val="6"/>
          <w:rFonts w:ascii="黑体" w:hAnsi="Calibri" w:eastAsia="黑体"/>
          <w:color w:val="000000"/>
          <w:kern w:val="0"/>
          <w:sz w:val="32"/>
          <w:szCs w:val="32"/>
          <w:lang w:val="en-US" w:eastAsia="zh-CN" w:bidi="ar-SA"/>
        </w:rPr>
        <w:t>行政处罚实施情况统计表</w:t>
      </w:r>
    </w:p>
    <w:tbl>
      <w:tblPr>
        <w:tblStyle w:val="4"/>
        <w:tblW w:w="14160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3214"/>
        <w:gridCol w:w="707"/>
        <w:gridCol w:w="836"/>
        <w:gridCol w:w="1179"/>
        <w:gridCol w:w="1071"/>
        <w:gridCol w:w="707"/>
        <w:gridCol w:w="922"/>
        <w:gridCol w:w="621"/>
        <w:gridCol w:w="836"/>
        <w:gridCol w:w="814"/>
        <w:gridCol w:w="1200"/>
        <w:gridCol w:w="15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序号</w:t>
            </w:r>
          </w:p>
        </w:tc>
        <w:tc>
          <w:tcPr>
            <w:tcW w:w="32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单位名称</w:t>
            </w:r>
          </w:p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69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行政处罚实施数量（宗）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罚没金额（ 万元）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2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警告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罚款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没收违法得、没收非法财物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暂扣许可证、执照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责令停产停业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吊销许可证、执照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行政拘留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其他行政处罚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  <w:t>合计（宗）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  <w:t>赣州市交通运输局</w:t>
            </w: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Style w:val="6"/>
                <w:rFonts w:ascii="仿宋_GB2312" w:hAnsi="Calibri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本部）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7.3576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2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6"/>
              </w:tabs>
              <w:jc w:val="left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赣州市公路管理局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89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103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10.21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-SA"/>
              </w:rPr>
              <w:t>赣州市道路运输管理局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67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510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577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378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赣州市港航管理处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赣州市交通工程质量监督站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12.25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Calibri" w:eastAsia="黑体" w:cs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赣州市地方海事局（船检局）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3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6"/>
                <w:rFonts w:ascii="仿宋_GB2312" w:hAnsi="Calibri" w:eastAsia="仿宋_GB2312"/>
                <w:color w:val="000000"/>
                <w:kern w:val="0"/>
                <w:sz w:val="26"/>
                <w:szCs w:val="26"/>
                <w:lang w:val="en-US" w:eastAsia="zh-CN" w:bidi="ar-SA"/>
              </w:rPr>
              <w:t>合计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67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610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683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-SA"/>
              </w:rPr>
              <w:t>407.8176</w:t>
            </w:r>
          </w:p>
        </w:tc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说明：1. 行政处罚实施数量的统计范围为统计年度1 月1 日至12 月31 日期间作出行政处罚决定的数量（包括经行政复议或者行政诉讼被撤销的行政处罚决定数量）。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2. 其他行政处罚，为法律、行政法规规定的其他行政处罚，比如通报批评、驱逐出境等。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3. 单处一个类别行政处罚的，计入相应的行政处罚类别；并处两种以上行政处罚的，算一宗行政处罚，计入最重的行政处罚类别。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如“没收违法所得，并处罚款”，计入“没收违法所得、没收非法财物”类别；并处明确类别的行政处罚和其他行政处罚的，计入明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确类别的行政处罚，如“处罚款，并处其他行政处罚”，计入“罚款”类别。行政处罚类别从轻到重的顺序：（1）警告，（2）罚款，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（3）没收违法所得、没收非法财物，（4）暂扣许可证、执照，（5）责令停产停业，（6）吊销许可证、执照，（7）行政拘留。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4. 没收违法所得、没收非法财物能确定金额的，计入“罚没金额”；不能确定金额的，不计入“罚没金额”。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5. “罚没金额”以处罚决定书确定的金额为准。</w:t>
      </w:r>
    </w:p>
    <w:p>
      <w:pPr>
        <w:kinsoku/>
        <w:wordWrap/>
        <w:overflowPunct/>
        <w:bidi w:val="0"/>
        <w:spacing w:line="440" w:lineRule="exact"/>
        <w:jc w:val="left"/>
        <w:textAlignment w:val="auto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  <w:t>表三</w:t>
      </w:r>
    </w:p>
    <w:p>
      <w:pPr>
        <w:kinsoku/>
        <w:wordWrap/>
        <w:overflowPunct/>
        <w:bidi w:val="0"/>
        <w:spacing w:line="440" w:lineRule="exact"/>
        <w:jc w:val="center"/>
        <w:textAlignment w:val="auto"/>
        <w:rPr>
          <w:rStyle w:val="6"/>
          <w:rFonts w:ascii="黑体" w:hAnsi="Calibri" w:eastAsia="黑体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黑体" w:hAnsi="黑体" w:eastAsia="黑体"/>
          <w:b w:val="0"/>
          <w:bCs w:val="0"/>
          <w:kern w:val="0"/>
          <w:sz w:val="32"/>
          <w:szCs w:val="32"/>
          <w:u w:val="none"/>
          <w:lang w:val="en-US" w:eastAsia="zh-CN" w:bidi="ar-SA"/>
        </w:rPr>
        <w:t>赣州市交通运输局</w:t>
      </w:r>
      <w:r>
        <w:rPr>
          <w:rStyle w:val="6"/>
          <w:rFonts w:hint="eastAsia" w:ascii="黑体" w:hAnsi="黑体" w:eastAsia="黑体"/>
          <w:b w:val="0"/>
          <w:bCs w:val="0"/>
          <w:kern w:val="0"/>
          <w:sz w:val="32"/>
          <w:szCs w:val="32"/>
          <w:lang w:val="en-US" w:eastAsia="zh-CN" w:bidi="ar-SA"/>
        </w:rPr>
        <w:t>2019</w:t>
      </w:r>
      <w:r>
        <w:rPr>
          <w:rStyle w:val="6"/>
          <w:rFonts w:ascii="黑体" w:hAnsi="Calibri" w:eastAsia="黑体"/>
          <w:kern w:val="0"/>
          <w:sz w:val="32"/>
          <w:szCs w:val="32"/>
          <w:lang w:val="en-US" w:eastAsia="zh-CN" w:bidi="ar-SA"/>
        </w:rPr>
        <w:t>年度行政强制实施情况统计表</w:t>
      </w:r>
    </w:p>
    <w:tbl>
      <w:tblPr>
        <w:tblStyle w:val="4"/>
        <w:tblW w:w="14283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1"/>
        <w:gridCol w:w="3257"/>
        <w:gridCol w:w="986"/>
        <w:gridCol w:w="535"/>
        <w:gridCol w:w="879"/>
        <w:gridCol w:w="836"/>
        <w:gridCol w:w="878"/>
        <w:gridCol w:w="1007"/>
        <w:gridCol w:w="1262"/>
        <w:gridCol w:w="838"/>
        <w:gridCol w:w="879"/>
        <w:gridCol w:w="943"/>
        <w:gridCol w:w="793"/>
        <w:gridCol w:w="7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序号</w:t>
            </w:r>
          </w:p>
        </w:tc>
        <w:tc>
          <w:tcPr>
            <w:tcW w:w="32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单位名称</w:t>
            </w:r>
          </w:p>
        </w:tc>
        <w:tc>
          <w:tcPr>
            <w:tcW w:w="3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行政强制措施实施数量（宗）</w:t>
            </w:r>
          </w:p>
        </w:tc>
        <w:tc>
          <w:tcPr>
            <w:tcW w:w="66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行政强制执行实施数量（宗）</w:t>
            </w:r>
          </w:p>
        </w:tc>
        <w:tc>
          <w:tcPr>
            <w:tcW w:w="7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合计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2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查封场所、设施或者财物</w:t>
            </w:r>
          </w:p>
        </w:tc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扣押财物</w:t>
            </w:r>
          </w:p>
        </w:tc>
        <w:tc>
          <w:tcPr>
            <w:tcW w:w="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冻结存款、汇款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其他行政强制措施</w:t>
            </w:r>
          </w:p>
        </w:tc>
        <w:tc>
          <w:tcPr>
            <w:tcW w:w="58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行政机关强制执行</w:t>
            </w:r>
          </w:p>
        </w:tc>
        <w:tc>
          <w:tcPr>
            <w:tcW w:w="7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申请法院强制执行</w:t>
            </w:r>
          </w:p>
        </w:tc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2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加处罚款或者滞纳金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划拨存款、汇款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拍卖或者依法处理查封、扣押的场所、设施或者财物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排除妨碍、恢复原状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代履行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其他强制执行方式</w:t>
            </w:r>
          </w:p>
        </w:tc>
        <w:tc>
          <w:tcPr>
            <w:tcW w:w="7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7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  <w:t>赣州市交通运输局</w:t>
            </w: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Style w:val="6"/>
                <w:rFonts w:ascii="仿宋_GB2312" w:hAnsi="Calibri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本部）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6"/>
              </w:tabs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赣州市公路管理局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赣州市道路运输管理局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349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349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赣州市港航管理处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赣州市交通工程质量监督站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3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赣州市地方海事局（船检局）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ascii="Calibri" w:hAnsi="Calibri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  <w:t>合计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349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349</w:t>
            </w:r>
          </w:p>
        </w:tc>
      </w:tr>
    </w:tbl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说明：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1. 行政强制措施实施数量的统计范围为统计年度1 月1 日至12 月31 日期间作出“查封场所、设施或者财物”、“扣押财物”、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“冻结存款、汇款”或者“其他行政强制措施”决定的数量。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2. 行政强制执行实施数量的统计范围为统计年度1 月1 日至12 月31 日期间“加处罚款或者滞纳金”、“划拨存款、汇款”、“拍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卖或者依法处理查封、扣押的场所、设施或者财物”、“排除妨碍、恢复原状”、“代履行”和“其他强制执行方式”等执行完毕或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者终结执行的数量。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3. 其他强制执行方式，如《城乡规划法》规定的强制拆除；《煤炭法》规定的强制停产、强制消除安全隐患；《金银管理条例》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规定的强制收购；《外汇管理条例》规定的回兑等。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6"/>
          <w:szCs w:val="26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4. 申请法院强制执行数量的统计范围为统计年度1 月1 日至12 月31 日期间向法院申请强制执行的数量，时间以申请日期为准。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  <w:t>表四</w:t>
      </w:r>
    </w:p>
    <w:p>
      <w:pPr>
        <w:jc w:val="center"/>
        <w:textAlignment w:val="baseline"/>
        <w:rPr>
          <w:rStyle w:val="6"/>
          <w:rFonts w:ascii="黑体" w:hAnsi="Calibri" w:eastAsia="黑体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黑体" w:hAnsi="黑体" w:eastAsia="黑体"/>
          <w:b w:val="0"/>
          <w:bCs w:val="0"/>
          <w:kern w:val="0"/>
          <w:sz w:val="32"/>
          <w:szCs w:val="32"/>
          <w:u w:val="none"/>
          <w:lang w:val="en-US" w:eastAsia="zh-CN" w:bidi="ar-SA"/>
        </w:rPr>
        <w:t>赣州市交通运输局</w:t>
      </w:r>
      <w:r>
        <w:rPr>
          <w:rStyle w:val="6"/>
          <w:rFonts w:hint="eastAsia" w:ascii="黑体" w:hAnsi="黑体" w:eastAsia="黑体"/>
          <w:b w:val="0"/>
          <w:bCs w:val="0"/>
          <w:kern w:val="0"/>
          <w:sz w:val="32"/>
          <w:szCs w:val="32"/>
          <w:lang w:val="en-US" w:eastAsia="zh-CN" w:bidi="ar-SA"/>
        </w:rPr>
        <w:t>2019</w:t>
      </w:r>
      <w:r>
        <w:rPr>
          <w:rStyle w:val="6"/>
          <w:rFonts w:ascii="黑体" w:hAnsi="Calibri" w:eastAsia="黑体"/>
          <w:kern w:val="0"/>
          <w:sz w:val="32"/>
          <w:szCs w:val="32"/>
          <w:lang w:val="en-US" w:eastAsia="zh-CN" w:bidi="ar-SA"/>
        </w:rPr>
        <w:t>年度行政征收实施情况统计表</w:t>
      </w:r>
    </w:p>
    <w:tbl>
      <w:tblPr>
        <w:tblStyle w:val="4"/>
        <w:tblW w:w="14174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3543"/>
        <w:gridCol w:w="3261"/>
        <w:gridCol w:w="3260"/>
        <w:gridCol w:w="35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序</w:t>
            </w:r>
          </w:p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号</w:t>
            </w:r>
          </w:p>
        </w:tc>
        <w:tc>
          <w:tcPr>
            <w:tcW w:w="35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单位名称</w:t>
            </w:r>
          </w:p>
        </w:tc>
        <w:tc>
          <w:tcPr>
            <w:tcW w:w="6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行政收费</w:t>
            </w:r>
          </w:p>
        </w:tc>
        <w:tc>
          <w:tcPr>
            <w:tcW w:w="35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土地、房屋征收实施数量（宗）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5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实施数量（宗）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收费总金额（万元）</w:t>
            </w:r>
          </w:p>
        </w:tc>
        <w:tc>
          <w:tcPr>
            <w:tcW w:w="35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黑体" w:hAnsi="Calibri" w:eastAsia="黑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  <w:t>赣州市交通运输局</w:t>
            </w: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Style w:val="6"/>
                <w:rFonts w:ascii="仿宋_GB2312" w:hAnsi="Calibri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本部）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6"/>
              </w:tabs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赣州市公路管理局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赣州市道路运输管理局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14388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204.3424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赣州市港航管理处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赣州市交通工程质量监督站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赣州市地方海事局（船检局）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  <w:t>合计</w:t>
            </w:r>
          </w:p>
        </w:tc>
        <w:tc>
          <w:tcPr>
            <w:tcW w:w="3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14388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204.3424</w:t>
            </w:r>
          </w:p>
        </w:tc>
        <w:tc>
          <w:tcPr>
            <w:tcW w:w="3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32"/>
                <w:szCs w:val="32"/>
                <w:lang w:val="en-US" w:eastAsia="zh-CN" w:bidi="ar-SA"/>
              </w:rPr>
              <w:t>0</w:t>
            </w:r>
          </w:p>
        </w:tc>
      </w:tr>
    </w:tbl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6"/>
          <w:szCs w:val="26"/>
          <w:lang w:val="en-US" w:eastAsia="zh-CN" w:bidi="ar-SA"/>
        </w:rPr>
      </w:pP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说明：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1. 行政征收的统计范围为统计年度1 月1 日至12 月31 日期间实施的行政收费及土地、房产征收等情况。（因征税属于中央垂直管理，不列入我省统计范围）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2. 土地、房屋征收实施数量的统计，以政府正式批文为准。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  <w:t>表五</w:t>
      </w:r>
    </w:p>
    <w:p>
      <w:pPr>
        <w:jc w:val="center"/>
        <w:textAlignment w:val="baseline"/>
        <w:rPr>
          <w:rStyle w:val="6"/>
          <w:rFonts w:ascii="黑体" w:hAnsi="Calibri" w:eastAsia="黑体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黑体" w:hAnsi="黑体" w:eastAsia="黑体"/>
          <w:b w:val="0"/>
          <w:bCs w:val="0"/>
          <w:kern w:val="0"/>
          <w:sz w:val="32"/>
          <w:szCs w:val="32"/>
          <w:u w:val="none"/>
          <w:lang w:val="en-US" w:eastAsia="zh-CN" w:bidi="ar-SA"/>
        </w:rPr>
        <w:t>赣州市交通运输局</w:t>
      </w:r>
      <w:r>
        <w:rPr>
          <w:rStyle w:val="6"/>
          <w:rFonts w:hint="eastAsia" w:ascii="黑体" w:hAnsi="黑体" w:eastAsia="黑体"/>
          <w:b w:val="0"/>
          <w:bCs w:val="0"/>
          <w:kern w:val="0"/>
          <w:sz w:val="32"/>
          <w:szCs w:val="32"/>
          <w:lang w:val="en-US" w:eastAsia="zh-CN" w:bidi="ar-SA"/>
        </w:rPr>
        <w:t>2019</w:t>
      </w:r>
      <w:r>
        <w:rPr>
          <w:rStyle w:val="6"/>
          <w:rFonts w:ascii="黑体" w:hAnsi="Calibri" w:eastAsia="黑体"/>
          <w:kern w:val="0"/>
          <w:sz w:val="32"/>
          <w:szCs w:val="32"/>
          <w:lang w:val="en-US" w:eastAsia="zh-CN" w:bidi="ar-SA"/>
        </w:rPr>
        <w:t>年度行政征用实施情况统计表</w:t>
      </w:r>
    </w:p>
    <w:tbl>
      <w:tblPr>
        <w:tblStyle w:val="4"/>
        <w:tblW w:w="14174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9"/>
        <w:gridCol w:w="5103"/>
        <w:gridCol w:w="72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序号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单位名称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行政征用实施数量（宗）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  <w:t>赣州市交通运输局</w:t>
            </w: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Style w:val="6"/>
                <w:rFonts w:ascii="仿宋_GB2312" w:hAnsi="Calibri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本部）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6"/>
              </w:tabs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赣州市公路管理局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赣州市道路运输管理局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赣州市港航管理处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赣州市交通工程质量监督站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赣州市地方海事局（船检局）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  <w:t>合计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</w:tbl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说明：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行政征用实施数量的统计范围为统计年度1 月1 日至12 月31 日期间因抢险、救灾、反恐等公共利益需要而作出的行政征用决定的数量。</w:t>
      </w: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both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32"/>
          <w:szCs w:val="32"/>
          <w:lang w:val="en-US" w:eastAsia="zh-CN" w:bidi="ar-SA"/>
        </w:rPr>
        <w:t>表六</w:t>
      </w:r>
    </w:p>
    <w:p>
      <w:pPr>
        <w:jc w:val="center"/>
        <w:textAlignment w:val="baseline"/>
        <w:rPr>
          <w:rStyle w:val="6"/>
          <w:rFonts w:ascii="黑体" w:hAnsi="Calibri" w:eastAsia="黑体"/>
          <w:kern w:val="0"/>
          <w:sz w:val="32"/>
          <w:szCs w:val="32"/>
          <w:lang w:val="en-US" w:eastAsia="zh-CN" w:bidi="ar-SA"/>
        </w:rPr>
      </w:pPr>
      <w:r>
        <w:rPr>
          <w:rStyle w:val="6"/>
          <w:rFonts w:hint="eastAsia" w:ascii="黑体" w:hAnsi="黑体" w:eastAsia="黑体"/>
          <w:b w:val="0"/>
          <w:bCs w:val="0"/>
          <w:kern w:val="0"/>
          <w:sz w:val="32"/>
          <w:szCs w:val="32"/>
          <w:u w:val="none"/>
          <w:lang w:val="en-US" w:eastAsia="zh-CN" w:bidi="ar-SA"/>
        </w:rPr>
        <w:t>赣州市交通运输局</w:t>
      </w:r>
      <w:r>
        <w:rPr>
          <w:rStyle w:val="6"/>
          <w:rFonts w:hint="eastAsia" w:ascii="黑体" w:hAnsi="黑体" w:eastAsia="黑体"/>
          <w:b w:val="0"/>
          <w:bCs w:val="0"/>
          <w:kern w:val="0"/>
          <w:sz w:val="32"/>
          <w:szCs w:val="32"/>
          <w:lang w:val="en-US" w:eastAsia="zh-CN" w:bidi="ar-SA"/>
        </w:rPr>
        <w:t>2019</w:t>
      </w:r>
      <w:r>
        <w:rPr>
          <w:rStyle w:val="6"/>
          <w:rFonts w:ascii="黑体" w:hAnsi="Calibri" w:eastAsia="黑体"/>
          <w:kern w:val="0"/>
          <w:sz w:val="32"/>
          <w:szCs w:val="32"/>
          <w:lang w:val="en-US" w:eastAsia="zh-CN" w:bidi="ar-SA"/>
        </w:rPr>
        <w:t>年度行政检查实施情况统计表</w:t>
      </w:r>
    </w:p>
    <w:tbl>
      <w:tblPr>
        <w:tblStyle w:val="4"/>
        <w:tblW w:w="14174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9"/>
        <w:gridCol w:w="5103"/>
        <w:gridCol w:w="72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序号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单位名称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Style w:val="6"/>
                <w:rFonts w:ascii="黑体" w:hAnsi="Calibri" w:eastAsia="黑体"/>
                <w:kern w:val="0"/>
                <w:sz w:val="22"/>
                <w:szCs w:val="22"/>
                <w:lang w:val="en-US" w:eastAsia="zh-CN" w:bidi="ar-SA"/>
              </w:rPr>
              <w:t>行政检查（次数）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u w:val="none"/>
                <w:lang w:val="en-US" w:eastAsia="zh-CN" w:bidi="ar-SA"/>
              </w:rPr>
              <w:t>赣州市交通运输局</w:t>
            </w: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Style w:val="6"/>
                <w:rFonts w:ascii="仿宋_GB2312" w:hAnsi="Calibri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本部）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6"/>
              </w:tabs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赣州市公路管理局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赣州市道路运输管理局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赣州市港航管理处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赣州市交通工程质量监督站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黑体" w:eastAsia="黑体" w:cs="黑体"/>
                <w:kern w:val="0"/>
                <w:sz w:val="26"/>
                <w:szCs w:val="2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5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baseline"/>
              <w:rPr>
                <w:rStyle w:val="6"/>
                <w:rFonts w:hint="default"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赣州市地方海事局（船检局）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1320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ascii="仿宋_GB2312" w:hAnsi="Calibri" w:eastAsia="仿宋_GB2312"/>
                <w:kern w:val="0"/>
                <w:sz w:val="26"/>
                <w:szCs w:val="26"/>
                <w:lang w:val="en-US" w:eastAsia="zh-CN" w:bidi="ar-SA"/>
              </w:rPr>
              <w:t>合计</w:t>
            </w:r>
          </w:p>
        </w:tc>
        <w:tc>
          <w:tcPr>
            <w:tcW w:w="7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黑体" w:hAnsi="Calibri" w:eastAsia="黑体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Style w:val="6"/>
                <w:rFonts w:hint="eastAsia" w:ascii="黑体" w:eastAsia="黑体"/>
                <w:kern w:val="0"/>
                <w:sz w:val="26"/>
                <w:szCs w:val="26"/>
                <w:lang w:val="en-US" w:eastAsia="zh-CN" w:bidi="ar-SA"/>
              </w:rPr>
              <w:t>1386</w:t>
            </w:r>
          </w:p>
        </w:tc>
      </w:tr>
    </w:tbl>
    <w:p>
      <w:pPr>
        <w:jc w:val="left"/>
        <w:textAlignment w:val="baseline"/>
        <w:rPr>
          <w:rStyle w:val="6"/>
          <w:rFonts w:ascii="黑体" w:hAnsi="Calibri" w:eastAsia="黑体"/>
          <w:kern w:val="0"/>
          <w:sz w:val="32"/>
          <w:szCs w:val="32"/>
          <w:lang w:val="en-US" w:eastAsia="zh-CN" w:bidi="ar-SA"/>
        </w:rPr>
      </w:pP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说明：</w:t>
      </w:r>
    </w:p>
    <w:p>
      <w:pPr>
        <w:jc w:val="left"/>
        <w:textAlignment w:val="baseline"/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Calibri" w:eastAsia="仿宋_GB2312"/>
          <w:kern w:val="0"/>
          <w:sz w:val="24"/>
          <w:szCs w:val="24"/>
          <w:lang w:val="en-US" w:eastAsia="zh-CN" w:bidi="ar-SA"/>
        </w:rPr>
        <w:t>行政检查次数的统计范围为统计年度1 月1 日至12 月31 日期间开展行政检查的次数。检查1 个检查对象，有完整、详细的检查记录，计为检查1 次。无特定检查对象的巡查、巡逻，无完整、详细检查记录，检查后作出行政处罚等其他行政执法行为的，均不计为检查次数。</w:t>
      </w:r>
    </w:p>
    <w:p/>
    <w:sectPr>
      <w:footerReference r:id="rId4" w:type="default"/>
      <w:pgSz w:w="16838" w:h="11906"/>
      <w:pgMar w:top="726" w:right="1440" w:bottom="556" w:left="1440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525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18"/>
      </w:rPr>
      <w:pict>
        <v:shape id="_x0000_s4099" o:spid="_x0000_s4099" o:spt="202" type="#_x0000_t202" style="position:absolute;left:0pt;margin-top:0pt;height:144pt;width:144pt;mso-position-horizontal:center;mso-position-horizontal-relative:margin;mso-wrap-style:none;z-index:52633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rPr>
        <w:rStyle w:val="6"/>
        <w:rFonts w:ascii="Calibri" w:hAnsi="Calibri" w:eastAsia="宋体"/>
        <w:kern w:val="2"/>
        <w:sz w:val="18"/>
        <w:szCs w:val="24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z-index:524288;mso-width-relative:page;mso-height-relative:page;" filled="f" stroked="f" coordsize="21600,21600">
          <v:path/>
          <v:fill on="f" focussize="0,0"/>
          <v:stroke on="f"/>
          <v:imagedata o:title=""/>
          <o:lock v:ext="edit"/>
          <v:textbox inset="0mm,0mm,0mm,0mm"/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1C7D7A0F"/>
    <w:rsid w:val="21BC37D4"/>
    <w:rsid w:val="24D70CC6"/>
    <w:rsid w:val="2CBF049E"/>
    <w:rsid w:val="33166D76"/>
    <w:rsid w:val="3B8F7A43"/>
    <w:rsid w:val="4A157D89"/>
    <w:rsid w:val="4EB351D0"/>
    <w:rsid w:val="51F0088F"/>
    <w:rsid w:val="526713EA"/>
    <w:rsid w:val="5E04689A"/>
    <w:rsid w:val="742D5E14"/>
    <w:rsid w:val="77AE77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</w:pPr>
    <w:rPr>
      <w:rFonts w:ascii="Calibri" w:hAnsi="Calibri" w:eastAsia="宋体"/>
      <w:kern w:val="2"/>
      <w:sz w:val="18"/>
      <w:szCs w:val="24"/>
      <w:lang w:val="en-US" w:eastAsia="zh-CN" w:bidi="ar-SA"/>
    </w:rPr>
  </w:style>
  <w:style w:type="character" w:customStyle="1" w:styleId="6">
    <w:name w:val="NormalCharacter"/>
    <w:link w:val="1"/>
    <w:semiHidden/>
    <w:qFormat/>
    <w:uiPriority w:val="0"/>
  </w:style>
  <w:style w:type="table" w:customStyle="1" w:styleId="7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 textRotate="1"/>
    <customShpInfo spid="_x0000_s4099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172</TotalTime>
  <ScaleCrop>false</ScaleCrop>
  <LinksUpToDate>false</LinksUpToDate>
  <Application>WPS Office_11.1.0.9339_F1E327BC-269C-435d-A152-05C5408002CA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2020-01-21T01:13:00Z</dcterms:created>
  <dc:creator>Administrator</dc:creator>
  <cp:lastModifiedBy>WPS_1559696239</cp:lastModifiedBy>
  <cp:lastPrinted>2020-02-03T09:35:00Z</cp:lastPrinted>
  <dcterms:modified xsi:type="dcterms:W3CDTF">2020-02-12T01:47:16Z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