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line="560" w:lineRule="exact"/>
        <w:ind w:firstLine="862" w:firstLineChars="200"/>
        <w:outlineLvl w:val="0"/>
        <w:rPr>
          <w:rFonts w:ascii="宋体" w:hAnsi="宋体"/>
          <w:w w:val="98"/>
        </w:rPr>
      </w:pPr>
      <w:r>
        <w:rPr>
          <w:rFonts w:hint="eastAsia" w:ascii="宋体" w:hAnsi="宋体"/>
          <w:w w:val="98"/>
        </w:rPr>
        <w:t>202</w:t>
      </w:r>
      <w:r>
        <w:rPr>
          <w:rFonts w:hint="eastAsia" w:ascii="宋体" w:hAnsi="宋体"/>
          <w:w w:val="98"/>
          <w:lang w:val="en-US" w:eastAsia="zh-CN"/>
        </w:rPr>
        <w:t>5</w:t>
      </w:r>
      <w:r>
        <w:rPr>
          <w:rFonts w:hint="eastAsia" w:ascii="宋体" w:hAnsi="宋体"/>
          <w:w w:val="98"/>
        </w:rPr>
        <w:t>年度赣州市科技局</w:t>
      </w:r>
      <w:r>
        <w:rPr>
          <w:rFonts w:hint="eastAsia" w:ascii="宋体" w:hAnsi="宋体"/>
          <w:w w:val="98"/>
          <w:lang w:eastAsia="zh-CN"/>
        </w:rPr>
        <w:t>部门项目</w:t>
      </w:r>
      <w:r>
        <w:rPr>
          <w:rFonts w:hint="eastAsia" w:ascii="宋体" w:hAnsi="宋体"/>
          <w:w w:val="98"/>
        </w:rPr>
        <w:t>绩效</w:t>
      </w:r>
      <w:r>
        <w:rPr>
          <w:rFonts w:hint="eastAsia" w:ascii="宋体" w:hAnsi="宋体"/>
          <w:w w:val="98"/>
          <w:lang w:eastAsia="zh-CN"/>
        </w:rPr>
        <w:t>自评</w:t>
      </w:r>
      <w:r>
        <w:rPr>
          <w:rFonts w:hint="eastAsia" w:ascii="宋体" w:hAnsi="宋体"/>
          <w:w w:val="98"/>
        </w:rPr>
        <w:t>报告</w:t>
      </w:r>
    </w:p>
    <w:p>
      <w:pPr>
        <w:spacing w:line="560" w:lineRule="exact"/>
        <w:jc w:val="left"/>
        <w:rPr>
          <w:rFonts w:ascii="宋体" w:hAnsi="宋体" w:eastAsia="仿宋_GB2312" w:cs="仿宋_GB2312"/>
          <w:bCs/>
          <w:szCs w:val="32"/>
        </w:rPr>
      </w:pPr>
      <w:r>
        <w:rPr>
          <w:rFonts w:hint="eastAsia" w:ascii="宋体" w:hAnsi="宋体" w:eastAsia="仿宋_GB2312" w:cs="仿宋_GB2312"/>
          <w:bCs/>
          <w:szCs w:val="32"/>
        </w:rPr>
        <w:t>市财政局：</w:t>
      </w:r>
    </w:p>
    <w:p>
      <w:pPr>
        <w:spacing w:line="560" w:lineRule="exact"/>
        <w:ind w:firstLine="640" w:firstLineChars="200"/>
        <w:jc w:val="left"/>
        <w:rPr>
          <w:rFonts w:ascii="宋体" w:hAnsi="宋体" w:eastAsia="仿宋_GB2312" w:cs="仿宋_GB2312"/>
          <w:bCs/>
          <w:szCs w:val="32"/>
        </w:rPr>
      </w:pPr>
      <w:r>
        <w:rPr>
          <w:rFonts w:hint="eastAsia" w:ascii="宋体" w:hAnsi="宋体" w:eastAsia="仿宋_GB2312" w:cs="仿宋_GB2312"/>
          <w:bCs/>
          <w:szCs w:val="32"/>
        </w:rPr>
        <w:t>根据</w:t>
      </w:r>
      <w:r>
        <w:rPr>
          <w:rFonts w:ascii="宋体" w:hAnsi="宋体" w:eastAsia="仿宋_GB2312"/>
          <w:bCs/>
          <w:szCs w:val="32"/>
        </w:rPr>
        <w:t>赣州市财政局</w:t>
      </w:r>
      <w:r>
        <w:rPr>
          <w:rFonts w:hint="eastAsia" w:ascii="宋体" w:hAnsi="宋体" w:eastAsia="仿宋_GB2312"/>
          <w:bCs/>
          <w:szCs w:val="32"/>
        </w:rPr>
        <w:t>《关于开展2025年度绩效自评和部门评价工作的通知</w:t>
      </w:r>
      <w:r>
        <w:rPr>
          <w:rFonts w:ascii="宋体" w:hAnsi="宋体" w:eastAsia="仿宋_GB2312"/>
          <w:bCs/>
          <w:szCs w:val="32"/>
        </w:rPr>
        <w:t>》</w:t>
      </w:r>
      <w:r>
        <w:rPr>
          <w:rFonts w:hint="eastAsia" w:ascii="宋体" w:hAnsi="宋体" w:eastAsia="仿宋_GB2312"/>
          <w:bCs/>
          <w:szCs w:val="32"/>
        </w:rPr>
        <w:t>文件</w:t>
      </w:r>
      <w:r>
        <w:rPr>
          <w:rFonts w:hint="eastAsia" w:ascii="宋体" w:hAnsi="宋体" w:eastAsia="仿宋_GB2312" w:cs="仿宋_GB2312"/>
          <w:bCs/>
          <w:szCs w:val="32"/>
        </w:rPr>
        <w:t>精神，经对赣州市科技局202</w:t>
      </w:r>
      <w:r>
        <w:rPr>
          <w:rFonts w:hint="eastAsia" w:ascii="宋体" w:hAnsi="宋体" w:eastAsia="仿宋_GB2312" w:cs="仿宋_GB2312"/>
          <w:bCs/>
          <w:szCs w:val="32"/>
          <w:lang w:val="en-US" w:eastAsia="zh-CN"/>
        </w:rPr>
        <w:t>5</w:t>
      </w:r>
      <w:r>
        <w:rPr>
          <w:rFonts w:hint="eastAsia" w:ascii="宋体" w:hAnsi="宋体" w:eastAsia="仿宋_GB2312" w:cs="仿宋_GB2312"/>
          <w:bCs/>
          <w:szCs w:val="32"/>
        </w:rPr>
        <w:t>年度</w:t>
      </w:r>
      <w:r>
        <w:rPr>
          <w:rFonts w:hint="eastAsia" w:ascii="宋体" w:hAnsi="宋体" w:eastAsia="仿宋_GB2312" w:cs="仿宋_GB2312"/>
          <w:bCs/>
          <w:szCs w:val="32"/>
          <w:lang w:eastAsia="zh-CN"/>
        </w:rPr>
        <w:t>项目绩效</w:t>
      </w:r>
      <w:r>
        <w:rPr>
          <w:rFonts w:hint="eastAsia" w:ascii="宋体" w:hAnsi="宋体" w:eastAsia="仿宋_GB2312" w:cs="仿宋_GB2312"/>
          <w:bCs/>
          <w:szCs w:val="32"/>
        </w:rPr>
        <w:t>进行了</w:t>
      </w:r>
      <w:r>
        <w:rPr>
          <w:rFonts w:hint="eastAsia" w:ascii="宋体" w:hAnsi="宋体" w:eastAsia="仿宋_GB2312" w:cs="仿宋_GB2312"/>
          <w:bCs/>
          <w:szCs w:val="32"/>
          <w:lang w:eastAsia="zh-CN"/>
        </w:rPr>
        <w:t>自评</w:t>
      </w:r>
      <w:r>
        <w:rPr>
          <w:rFonts w:hint="eastAsia" w:ascii="宋体" w:hAnsi="宋体" w:eastAsia="仿宋_GB2312" w:cs="仿宋_GB2312"/>
          <w:bCs/>
          <w:szCs w:val="32"/>
        </w:rPr>
        <w:t>。现将有关情况汇报如下：</w:t>
      </w:r>
    </w:p>
    <w:p>
      <w:pPr>
        <w:pStyle w:val="10"/>
        <w:numPr>
          <w:ilvl w:val="0"/>
          <w:numId w:val="1"/>
        </w:numPr>
        <w:spacing w:before="0" w:beforeAutospacing="0" w:after="0" w:afterAutospacing="0" w:line="560" w:lineRule="exact"/>
        <w:ind w:firstLine="640" w:firstLineChars="200"/>
        <w:outlineLvl w:val="0"/>
        <w:rPr>
          <w:rFonts w:hint="eastAsia" w:ascii="宋体" w:hAnsi="宋体" w:eastAsia="黑体" w:cs="仿宋_GB2312"/>
          <w:bCs/>
          <w:sz w:val="32"/>
          <w:szCs w:val="32"/>
          <w:lang w:eastAsia="zh-CN"/>
        </w:rPr>
      </w:pPr>
      <w:r>
        <w:rPr>
          <w:rFonts w:hint="eastAsia" w:ascii="宋体" w:hAnsi="宋体" w:eastAsia="黑体" w:cs="仿宋_GB2312"/>
          <w:bCs/>
          <w:sz w:val="32"/>
          <w:szCs w:val="32"/>
          <w:lang w:eastAsia="zh-CN"/>
        </w:rPr>
        <w:t>本部门项目绩效目标情况</w:t>
      </w:r>
    </w:p>
    <w:p>
      <w:pPr>
        <w:pStyle w:val="10"/>
        <w:numPr>
          <w:ilvl w:val="0"/>
          <w:numId w:val="0"/>
        </w:numPr>
        <w:spacing w:before="0" w:beforeAutospacing="0" w:after="0" w:afterAutospacing="0" w:line="560" w:lineRule="exact"/>
        <w:ind w:firstLine="640"/>
        <w:outlineLvl w:val="0"/>
        <w:rPr>
          <w:rFonts w:hint="eastAsia"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本部门2025年度共安排项目34个，涉及预算资金19484.28万元。按所属部门分类，其中市科技局项目资金19316.28万元，市科创中心项目资金168万元；按所属类别分类，其中支持科技成果转化资金3492.8万元，支持研发创新平台资金8400万元，强化科技攻关资金5973.47万元，支持基础研究资金1048.1万元，部门履职经费569.93万元。</w:t>
      </w:r>
    </w:p>
    <w:p>
      <w:pPr>
        <w:pStyle w:val="10"/>
        <w:numPr>
          <w:ilvl w:val="0"/>
          <w:numId w:val="0"/>
        </w:numPr>
        <w:spacing w:before="0" w:beforeAutospacing="0" w:after="0" w:afterAutospacing="0" w:line="560" w:lineRule="exact"/>
        <w:ind w:firstLine="640"/>
        <w:outlineLvl w:val="0"/>
        <w:rPr>
          <w:rFonts w:hint="default"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总体目标为</w:t>
      </w:r>
      <w:r>
        <w:rPr>
          <w:rFonts w:hint="default" w:ascii="宋体" w:hAnsi="宋体" w:eastAsia="仿宋_GB2312" w:cs="Times New Roman"/>
          <w:bCs/>
          <w:kern w:val="2"/>
          <w:sz w:val="32"/>
          <w:szCs w:val="32"/>
          <w:lang w:val="en-US" w:eastAsia="zh-CN" w:bidi="ar-SA"/>
        </w:rPr>
        <w:t>旨在通过上述项目的实施，全面提升</w:t>
      </w:r>
      <w:r>
        <w:rPr>
          <w:rFonts w:hint="eastAsia" w:ascii="宋体" w:hAnsi="宋体" w:eastAsia="仿宋_GB2312" w:cs="Times New Roman"/>
          <w:bCs/>
          <w:kern w:val="2"/>
          <w:sz w:val="32"/>
          <w:szCs w:val="32"/>
          <w:lang w:val="en-US" w:eastAsia="zh-CN" w:bidi="ar-SA"/>
        </w:rPr>
        <w:t>科技</w:t>
      </w:r>
      <w:r>
        <w:rPr>
          <w:rFonts w:hint="default" w:ascii="宋体" w:hAnsi="宋体" w:eastAsia="仿宋_GB2312" w:cs="Times New Roman"/>
          <w:bCs/>
          <w:kern w:val="2"/>
          <w:sz w:val="32"/>
          <w:szCs w:val="32"/>
          <w:lang w:val="en-US" w:eastAsia="zh-CN" w:bidi="ar-SA"/>
        </w:rPr>
        <w:t>领域的服务水平，确保</w:t>
      </w:r>
      <w:r>
        <w:rPr>
          <w:rFonts w:hint="eastAsia" w:ascii="宋体" w:hAnsi="宋体" w:eastAsia="仿宋_GB2312" w:cs="Times New Roman"/>
          <w:bCs/>
          <w:kern w:val="2"/>
          <w:sz w:val="32"/>
          <w:szCs w:val="32"/>
          <w:lang w:val="en-US" w:eastAsia="zh-CN" w:bidi="ar-SA"/>
        </w:rPr>
        <w:t>2024年出台的科技</w:t>
      </w:r>
      <w:r>
        <w:rPr>
          <w:rFonts w:hint="default" w:ascii="宋体" w:hAnsi="宋体" w:eastAsia="仿宋_GB2312" w:cs="Times New Roman"/>
          <w:bCs/>
          <w:kern w:val="2"/>
          <w:sz w:val="32"/>
          <w:szCs w:val="32"/>
          <w:lang w:val="en-US" w:eastAsia="zh-CN" w:bidi="ar-SA"/>
        </w:rPr>
        <w:t>政策有效落地，</w:t>
      </w:r>
      <w:r>
        <w:rPr>
          <w:rFonts w:hint="eastAsia" w:ascii="宋体" w:hAnsi="宋体" w:eastAsia="仿宋_GB2312" w:cs="Times New Roman"/>
          <w:bCs/>
          <w:kern w:val="2"/>
          <w:sz w:val="32"/>
          <w:szCs w:val="32"/>
          <w:lang w:val="en-US" w:eastAsia="zh-CN" w:bidi="ar-SA"/>
        </w:rPr>
        <w:t>全年顺利开展科技计划项目、成果熟化项目、揭榜挂帅项目、省自然科学基金赣南苏区创新发展联合基金项目等工作，支持赣南实验室、产研院、工研院等重大平台，引进高端研发机构，</w:t>
      </w:r>
      <w:r>
        <w:rPr>
          <w:rFonts w:hint="default" w:ascii="宋体" w:hAnsi="宋体" w:eastAsia="仿宋_GB2312" w:cs="Times New Roman"/>
          <w:bCs/>
          <w:kern w:val="2"/>
          <w:sz w:val="32"/>
          <w:szCs w:val="32"/>
          <w:lang w:val="en-US" w:eastAsia="zh-CN" w:bidi="ar-SA"/>
        </w:rPr>
        <w:t>预期</w:t>
      </w:r>
      <w:r>
        <w:rPr>
          <w:rFonts w:hint="eastAsia" w:ascii="宋体" w:hAnsi="宋体" w:eastAsia="仿宋_GB2312" w:cs="Times New Roman"/>
          <w:bCs/>
          <w:kern w:val="2"/>
          <w:sz w:val="32"/>
          <w:szCs w:val="32"/>
          <w:lang w:val="en-US" w:eastAsia="zh-CN" w:bidi="ar-SA"/>
        </w:rPr>
        <w:t>引进1家高端研发机构，研发费用支出后补助企业数达到200家，对各类项目评审、评估、验收达到1500项，顺利完成全年各类项目评审立项工作，资金执行率达到95%以上</w:t>
      </w:r>
      <w:r>
        <w:rPr>
          <w:rFonts w:hint="default" w:ascii="宋体" w:hAnsi="宋体" w:eastAsia="仿宋_GB2312" w:cs="Times New Roman"/>
          <w:bCs/>
          <w:kern w:val="2"/>
          <w:sz w:val="32"/>
          <w:szCs w:val="32"/>
          <w:lang w:val="en-US" w:eastAsia="zh-CN" w:bidi="ar-SA"/>
        </w:rPr>
        <w:t>，服务对象满意度达到</w:t>
      </w:r>
      <w:r>
        <w:rPr>
          <w:rFonts w:hint="eastAsia" w:ascii="宋体" w:hAnsi="宋体" w:eastAsia="仿宋_GB2312" w:cs="Times New Roman"/>
          <w:bCs/>
          <w:kern w:val="2"/>
          <w:sz w:val="32"/>
          <w:szCs w:val="32"/>
          <w:lang w:val="en-US" w:eastAsia="zh-CN" w:bidi="ar-SA"/>
        </w:rPr>
        <w:t>90</w:t>
      </w:r>
      <w:r>
        <w:rPr>
          <w:rFonts w:hint="default" w:ascii="宋体" w:hAnsi="宋体" w:eastAsia="仿宋_GB2312" w:cs="Times New Roman"/>
          <w:bCs/>
          <w:kern w:val="2"/>
          <w:sz w:val="32"/>
          <w:szCs w:val="32"/>
          <w:lang w:val="en-US" w:eastAsia="zh-CN" w:bidi="ar-SA"/>
        </w:rPr>
        <w:t>%以</w:t>
      </w:r>
      <w:r>
        <w:rPr>
          <w:rFonts w:hint="eastAsia" w:ascii="宋体" w:hAnsi="宋体" w:eastAsia="仿宋_GB2312" w:cs="Times New Roman"/>
          <w:bCs/>
          <w:kern w:val="2"/>
          <w:sz w:val="32"/>
          <w:szCs w:val="32"/>
          <w:lang w:val="en-US" w:eastAsia="zh-CN" w:bidi="ar-SA"/>
        </w:rPr>
        <w:t>上。</w:t>
      </w:r>
    </w:p>
    <w:p>
      <w:pPr>
        <w:numPr>
          <w:ilvl w:val="0"/>
          <w:numId w:val="1"/>
        </w:numPr>
        <w:ind w:left="0" w:leftChars="0" w:firstLine="640" w:firstLineChars="200"/>
        <w:rPr>
          <w:rFonts w:hint="eastAsia" w:ascii="宋体" w:hAnsi="宋体" w:eastAsia="黑体" w:cs="仿宋_GB2312"/>
          <w:bCs/>
          <w:kern w:val="0"/>
          <w:sz w:val="32"/>
          <w:szCs w:val="32"/>
          <w:lang w:val="en-US" w:eastAsia="zh-CN" w:bidi="ar-SA"/>
        </w:rPr>
      </w:pPr>
      <w:r>
        <w:rPr>
          <w:rFonts w:hint="eastAsia" w:ascii="宋体" w:hAnsi="宋体" w:eastAsia="黑体" w:cs="仿宋_GB2312"/>
          <w:bCs/>
          <w:kern w:val="0"/>
          <w:sz w:val="32"/>
          <w:szCs w:val="32"/>
          <w:lang w:val="en-US" w:eastAsia="zh-CN" w:bidi="ar-SA"/>
        </w:rPr>
        <w:t>本部门自评工作开展情况</w:t>
      </w:r>
    </w:p>
    <w:p>
      <w:pPr>
        <w:pStyle w:val="2"/>
        <w:rPr>
          <w:rFonts w:hint="default" w:ascii="宋体" w:hAnsi="宋体"/>
          <w:lang w:val="en-US" w:eastAsia="zh-CN"/>
        </w:rPr>
      </w:pPr>
      <w:r>
        <w:rPr>
          <w:rFonts w:hint="eastAsia" w:ascii="宋体" w:hAnsi="宋体" w:eastAsia="黑体" w:cs="仿宋_GB2312"/>
          <w:bCs/>
          <w:kern w:val="0"/>
          <w:sz w:val="32"/>
          <w:szCs w:val="32"/>
          <w:lang w:val="en-US" w:eastAsia="zh-CN" w:bidi="ar-SA"/>
        </w:rPr>
        <w:t xml:space="preserve">  </w:t>
      </w:r>
      <w:r>
        <w:rPr>
          <w:rFonts w:hint="eastAsia" w:ascii="宋体" w:hAnsi="宋体" w:eastAsia="仿宋_GB2312" w:cs="Times New Roman"/>
          <w:bCs/>
          <w:kern w:val="2"/>
          <w:sz w:val="32"/>
          <w:szCs w:val="32"/>
          <w:lang w:val="en-US" w:eastAsia="zh-CN" w:bidi="ar-SA"/>
        </w:rPr>
        <w:t xml:space="preserve">  我局自评工作由规统科牵头，各业务科室配合；自评对象以“预算管理一体化系统”下达项目为准，自评时段为2025年1月1日至12月31日。项目绩效自评根据要求采取打分评价形式，满分为100分，评价结果等级分为“优、良、中、差”四个等级，分别为“100-90分（含90）、90-80分（含80）、80-60分（含60）60-0分”，绩效指标完成情况根据各项目承担单位或归口业务科室根据全年开展工作情况采集。</w:t>
      </w:r>
    </w:p>
    <w:p>
      <w:pPr>
        <w:pStyle w:val="2"/>
        <w:numPr>
          <w:ilvl w:val="0"/>
          <w:numId w:val="1"/>
        </w:numPr>
        <w:ind w:left="0" w:leftChars="0" w:firstLine="640" w:firstLineChars="200"/>
        <w:rPr>
          <w:rFonts w:hint="default" w:ascii="宋体" w:hAnsi="宋体" w:eastAsia="黑体" w:cs="仿宋_GB2312"/>
          <w:bCs/>
          <w:kern w:val="0"/>
          <w:sz w:val="32"/>
          <w:szCs w:val="32"/>
          <w:lang w:val="en-US" w:eastAsia="zh-CN" w:bidi="ar-SA"/>
        </w:rPr>
      </w:pPr>
      <w:r>
        <w:rPr>
          <w:rFonts w:hint="eastAsia" w:ascii="宋体" w:hAnsi="宋体" w:eastAsia="黑体" w:cs="仿宋_GB2312"/>
          <w:bCs/>
          <w:kern w:val="0"/>
          <w:sz w:val="32"/>
          <w:szCs w:val="32"/>
          <w:lang w:val="en-US" w:eastAsia="zh-CN" w:bidi="ar-SA"/>
        </w:rPr>
        <w:t>综合评价结论</w:t>
      </w:r>
    </w:p>
    <w:p>
      <w:pPr>
        <w:pStyle w:val="2"/>
        <w:ind w:firstLine="640" w:firstLineChars="200"/>
        <w:rPr>
          <w:rFonts w:hint="default"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经汇总自评，34个项目中，评价结果为“优”的项目有30个，“良”的项目有1个，“中”的项目有2个，“差”的项目有1个，项目整体平均得分94分。总体来看，2025年度部门项目资金使用合规，各项任务基本按计划完成，在促进科技发展方面取得了预期目标。</w:t>
      </w:r>
    </w:p>
    <w:p>
      <w:pPr>
        <w:pStyle w:val="2"/>
        <w:numPr>
          <w:ilvl w:val="0"/>
          <w:numId w:val="1"/>
        </w:numPr>
        <w:ind w:left="0" w:leftChars="0" w:firstLine="640" w:firstLineChars="200"/>
        <w:rPr>
          <w:rFonts w:hint="default" w:ascii="宋体" w:hAnsi="宋体" w:eastAsia="黑体" w:cs="仿宋_GB2312"/>
          <w:bCs/>
          <w:kern w:val="0"/>
          <w:sz w:val="32"/>
          <w:szCs w:val="32"/>
          <w:lang w:val="en-US" w:eastAsia="zh-CN" w:bidi="ar-SA"/>
        </w:rPr>
      </w:pPr>
      <w:r>
        <w:rPr>
          <w:rFonts w:hint="eastAsia" w:ascii="宋体" w:hAnsi="宋体" w:eastAsia="黑体" w:cs="仿宋_GB2312"/>
          <w:bCs/>
          <w:kern w:val="0"/>
          <w:sz w:val="32"/>
          <w:szCs w:val="32"/>
          <w:lang w:val="en-US" w:eastAsia="zh-CN" w:bidi="ar-SA"/>
        </w:rPr>
        <w:t>绩效目标完成情况总体分析</w:t>
      </w:r>
    </w:p>
    <w:p>
      <w:pPr>
        <w:pStyle w:val="2"/>
        <w:numPr>
          <w:ilvl w:val="0"/>
          <w:numId w:val="0"/>
        </w:numPr>
        <w:snapToGrid w:val="0"/>
        <w:spacing w:line="579" w:lineRule="exact"/>
        <w:ind w:firstLine="640" w:firstLineChars="200"/>
        <w:jc w:val="left"/>
        <w:rPr>
          <w:rFonts w:hint="default"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2025年</w:t>
      </w:r>
      <w:r>
        <w:rPr>
          <w:rFonts w:hint="default" w:ascii="宋体" w:hAnsi="宋体" w:eastAsia="仿宋_GB2312" w:cs="Times New Roman"/>
          <w:bCs/>
          <w:kern w:val="2"/>
          <w:sz w:val="32"/>
          <w:szCs w:val="32"/>
          <w:lang w:val="en-US" w:eastAsia="zh-CN" w:bidi="ar-SA"/>
        </w:rPr>
        <w:t>预算执行</w:t>
      </w:r>
      <w:r>
        <w:rPr>
          <w:rFonts w:hint="eastAsia" w:ascii="宋体" w:hAnsi="宋体" w:eastAsia="仿宋_GB2312" w:cs="Times New Roman"/>
          <w:bCs/>
          <w:kern w:val="2"/>
          <w:sz w:val="32"/>
          <w:szCs w:val="32"/>
          <w:lang w:val="en-US" w:eastAsia="zh-CN" w:bidi="ar-SA"/>
        </w:rPr>
        <w:t>资金19150.6万元，执行率达98.29%。34个项目中30个项目资金执行率超90%（22个项目达到100%），3个项目资金执行率不到16%（2个项目资金执行率为0）。对照已批复的绩效目标，已完成的项目有“市本级科技计划项目”、“2025年赣州市科技成果熟化与工程化项目资金”、“2024年赣州市科技成果熟化与工程化项目资金”、“2025年度赣州市科技成果转化中试基地项目扶持资金”、“‘科创飞地’项目专项资金”、“2024年度企业研发费用支出后补助项目”、“科贷通不良贷款补偿资金”、“2024年度江西省科学技术奖项目配套奖励资金”、“2025重大疾病新药靶发现及新药创制全国重点实验室‘院士专项项目’”、“2025年度江西省自然科学基金赣南苏区创新发展联合基金”、“江西省自然科学基金赣南苏区创新发展联合基金经费”、“有色金属结构材料全国重点实验室奖励经费”、“矿业大学（北京）江西研究院2025年度运行经费”、“赣州市产业技术研究院、赣州市工业数字研究院2025年度运行补助经费”、“赣州市产业技术研究院、赣州市工业数字研究院2025年度第二批补助经费”、“赣州市产业技术研究院、赣州市工业数字研究院2024年度运行补助经费”、“市级‘揭榜挂帅’制项目”、“揭榜挂帅制项目”、“赣州市‘十五五’科技创新规划编制项目经费”、“2024年度市科技创新赋能行动专项工作经费”、“招商引资2025”、“2025双招双引</w:t>
      </w:r>
      <w:r>
        <w:rPr>
          <w:rFonts w:hint="default" w:ascii="宋体" w:hAnsi="宋体" w:eastAsia="仿宋_GB2312" w:cs="Times New Roman"/>
          <w:bCs/>
          <w:kern w:val="2"/>
          <w:sz w:val="32"/>
          <w:szCs w:val="32"/>
          <w:lang w:val="en-US" w:eastAsia="zh-CN" w:bidi="ar-SA"/>
        </w:rPr>
        <w:t>”</w:t>
      </w:r>
      <w:r>
        <w:rPr>
          <w:rFonts w:hint="eastAsia" w:ascii="宋体" w:hAnsi="宋体" w:eastAsia="仿宋_GB2312" w:cs="Times New Roman"/>
          <w:bCs/>
          <w:kern w:val="2"/>
          <w:sz w:val="32"/>
          <w:szCs w:val="32"/>
          <w:lang w:val="en-US" w:eastAsia="zh-CN" w:bidi="ar-SA"/>
        </w:rPr>
        <w:t>、“科创生态数据应用平台维护费”、“科技成果运营服务经费”、“2025年单位实有资金项目”（含科创中心实有资金项目）、“2025年业务费”、“市科技局科技活动、科技管理经费”、“市科创中心科技活动、科技管理经费”、“科技管理活动（科创中心）”等30个项目，全年成功支持13项成果熟化项目、4项成果转化中试基地项目、63项科技计划项目、226项科技+医疗项目、5项院士专项项目，5家科创飞地成功通过验收或中期考核，奖补202家企业研发投入后补助、15个2024年度江西省科学技术奖项目，成功引进矿业大学（北京）江西研究院，产研院、工研院、赣南实验室、赣南创新与转化医学研究院等支持机构正常运行，科创生态数据应用平台正常运行，基层调研次数不下50次，对接县（市、区）科技成果转化分中心站点服务次数不下20次，全年评审、验收项目3000多项，各类服务对象满意度均达到90%以上，2024年度全市全社会研发投入强度达到1.91%，较上年度提高0.1个百分点，全市创新能力、核心竞争力全面提升。正在实施的项目有“2024年度赣州市产业技术发展决策咨询研究课题资金”、“赣南实验室2025年度市级配套建设运行经费”、“2025年重大疾病新药靶发现及新药创制全国重点实验室市级配套科研项目经费”等3个项目，因该项目均为跨年度项目，正在按进度实施，预计能够顺利完成批复目标。未完成的项目为“2024-2025赣州市赣粤联动共创未来大赛”，因该赛事与省创赛冲突，结合工作实际，继续开展市创赛可能达不到预期效果，因此延期至下一年度举办。</w:t>
      </w:r>
    </w:p>
    <w:p>
      <w:pPr>
        <w:pStyle w:val="2"/>
        <w:numPr>
          <w:ilvl w:val="0"/>
          <w:numId w:val="1"/>
        </w:numPr>
        <w:ind w:left="0" w:leftChars="0" w:firstLine="640" w:firstLineChars="200"/>
        <w:rPr>
          <w:rFonts w:hint="default" w:ascii="宋体" w:hAnsi="宋体" w:eastAsia="黑体" w:cs="仿宋_GB2312"/>
          <w:bCs/>
          <w:kern w:val="0"/>
          <w:sz w:val="32"/>
          <w:szCs w:val="32"/>
          <w:lang w:val="en-US" w:eastAsia="zh-CN" w:bidi="ar-SA"/>
        </w:rPr>
      </w:pPr>
      <w:r>
        <w:rPr>
          <w:rFonts w:hint="eastAsia" w:ascii="宋体" w:hAnsi="宋体" w:eastAsia="黑体" w:cs="仿宋_GB2312"/>
          <w:bCs/>
          <w:kern w:val="0"/>
          <w:sz w:val="32"/>
          <w:szCs w:val="32"/>
          <w:lang w:val="en-US" w:eastAsia="zh-CN" w:bidi="ar-SA"/>
        </w:rPr>
        <w:t>偏离绩效目标的原因和改进措施</w:t>
      </w:r>
    </w:p>
    <w:p>
      <w:pPr>
        <w:pStyle w:val="2"/>
        <w:numPr>
          <w:ilvl w:val="0"/>
          <w:numId w:val="0"/>
        </w:numPr>
        <w:snapToGrid w:val="0"/>
        <w:spacing w:line="579" w:lineRule="exact"/>
        <w:ind w:firstLine="640" w:firstLineChars="200"/>
        <w:jc w:val="left"/>
        <w:rPr>
          <w:rFonts w:hint="eastAsia"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通过开展绩效自评，总体情况良好，但存在少数项目预算资金执行率较低、少数项目绩效目标未达到预期目标等问题。具体如下：</w:t>
      </w:r>
    </w:p>
    <w:p>
      <w:pPr>
        <w:pStyle w:val="2"/>
        <w:numPr>
          <w:ilvl w:val="0"/>
          <w:numId w:val="0"/>
        </w:numPr>
        <w:snapToGrid w:val="0"/>
        <w:spacing w:line="579" w:lineRule="exact"/>
        <w:ind w:firstLine="640" w:firstLineChars="200"/>
        <w:jc w:val="left"/>
        <w:rPr>
          <w:rFonts w:hint="eastAsia"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一是“赣州市‘十五五’科技创新规划编制项目经费”、“2024-2025赣州市赣粤联动共创未来大赛”等2个项目存在预算执行率较低的问题，原因是①“赣州</w:t>
      </w:r>
      <w:bookmarkStart w:id="0" w:name="_GoBack"/>
      <w:bookmarkEnd w:id="0"/>
      <w:r>
        <w:rPr>
          <w:rFonts w:hint="eastAsia" w:ascii="宋体" w:hAnsi="宋体" w:eastAsia="仿宋_GB2312" w:cs="Times New Roman"/>
          <w:bCs/>
          <w:kern w:val="2"/>
          <w:sz w:val="32"/>
          <w:szCs w:val="32"/>
          <w:lang w:val="en-US" w:eastAsia="zh-CN" w:bidi="ar-SA"/>
        </w:rPr>
        <w:t>市‘十五五’科技创新规划编制项目经费”开展时间较晚，于12月中旬进行请款，且根据合同约定我局应在收到被委托方出具的相应金额的发票后支付被委托方合同金额，被委托方于2026年1月13日出具发票，因此未在2025年完成第一笔资金拨付事项，目前已于2026年2月3日完成第一笔经费拨付工作。②“2024-2025赣州市赣粤联动共创未来大赛”按原计划会持续到26年才最终结束，依据合同约定给予运营商的资金按规定分三期拨付（2025年已完成第一期拨付），实际执行下来不可避免会跨年度，导致2025年度预算执行率较低。</w:t>
      </w:r>
    </w:p>
    <w:p>
      <w:pPr>
        <w:pStyle w:val="2"/>
        <w:numPr>
          <w:ilvl w:val="0"/>
          <w:numId w:val="0"/>
        </w:numPr>
        <w:snapToGrid w:val="0"/>
        <w:spacing w:line="579" w:lineRule="exact"/>
        <w:ind w:firstLine="640" w:firstLineChars="200"/>
        <w:jc w:val="left"/>
        <w:rPr>
          <w:rFonts w:hint="eastAsia"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二是“2024-2025赣州市赣粤联动共创未来大赛”未开展，原因是在市创赛征集项目之时，省创赛刚刚结束，若继续开展市创赛活动大概率达不到预期效果，因此决定延期至下一年度开展。</w:t>
      </w:r>
    </w:p>
    <w:p>
      <w:pPr>
        <w:pStyle w:val="2"/>
        <w:numPr>
          <w:ilvl w:val="0"/>
          <w:numId w:val="0"/>
        </w:numPr>
        <w:snapToGrid w:val="0"/>
        <w:spacing w:line="579" w:lineRule="exact"/>
        <w:ind w:firstLine="640" w:firstLineChars="200"/>
        <w:jc w:val="left"/>
        <w:rPr>
          <w:rFonts w:hint="default" w:ascii="宋体" w:hAnsi="宋体" w:eastAsia="仿宋_GB2312" w:cs="Times New Roman"/>
          <w:bCs/>
          <w:kern w:val="2"/>
          <w:sz w:val="32"/>
          <w:szCs w:val="32"/>
          <w:lang w:val="en-US" w:eastAsia="zh-CN" w:bidi="ar-SA"/>
        </w:rPr>
      </w:pPr>
      <w:r>
        <w:rPr>
          <w:rFonts w:hint="eastAsia" w:ascii="宋体" w:hAnsi="宋体" w:eastAsia="仿宋_GB2312" w:cs="Times New Roman"/>
          <w:bCs/>
          <w:kern w:val="2"/>
          <w:sz w:val="32"/>
          <w:szCs w:val="32"/>
          <w:lang w:val="en-US" w:eastAsia="zh-CN" w:bidi="ar-SA"/>
        </w:rPr>
        <w:t>下一步我局将加强项目库管理，做实前期调研，提高预算测算的精准度；建立项目执行月度监控机制，对进度滞后的项目及时预警，督促各业务科室按计划开展项目实施。</w:t>
      </w:r>
    </w:p>
    <w:p>
      <w:pPr>
        <w:pStyle w:val="2"/>
        <w:numPr>
          <w:ilvl w:val="0"/>
          <w:numId w:val="0"/>
        </w:numPr>
        <w:snapToGrid w:val="0"/>
        <w:spacing w:line="579" w:lineRule="exact"/>
        <w:ind w:firstLine="640" w:firstLineChars="200"/>
        <w:jc w:val="left"/>
        <w:rPr>
          <w:rFonts w:hint="default" w:ascii="宋体" w:hAnsi="宋体" w:eastAsia="仿宋_GB2312" w:cs="Times New Roman"/>
          <w:bCs/>
          <w:kern w:val="2"/>
          <w:sz w:val="32"/>
          <w:szCs w:val="32"/>
          <w:lang w:val="en-US" w:eastAsia="zh-CN" w:bidi="ar-SA"/>
        </w:rPr>
      </w:pPr>
      <w:r>
        <w:rPr>
          <w:rFonts w:hint="eastAsia" w:ascii="宋体" w:hAnsi="宋体" w:eastAsia="黑体" w:cs="仿宋_GB2312"/>
          <w:bCs/>
          <w:kern w:val="0"/>
          <w:sz w:val="32"/>
          <w:szCs w:val="32"/>
          <w:lang w:val="en-US" w:eastAsia="zh-CN" w:bidi="ar-SA"/>
        </w:rPr>
        <w:t>六、绩效自评结果拟应用和公开情况</w:t>
      </w:r>
      <w:r>
        <w:rPr>
          <w:rFonts w:hint="eastAsia" w:ascii="宋体" w:hAnsi="宋体" w:eastAsia="黑体" w:cs="仿宋_GB2312"/>
          <w:bCs/>
          <w:kern w:val="0"/>
          <w:sz w:val="32"/>
          <w:szCs w:val="32"/>
          <w:lang w:val="en-US" w:eastAsia="zh-CN" w:bidi="ar-SA"/>
        </w:rPr>
        <w:br w:type="textWrapping"/>
      </w:r>
      <w:r>
        <w:rPr>
          <w:rFonts w:hint="eastAsia" w:ascii="宋体" w:hAnsi="宋体" w:eastAsia="黑体" w:cs="仿宋_GB2312"/>
          <w:bCs/>
          <w:kern w:val="0"/>
          <w:sz w:val="32"/>
          <w:szCs w:val="32"/>
          <w:lang w:val="en-US" w:eastAsia="zh-CN" w:bidi="ar-SA"/>
        </w:rPr>
        <w:t xml:space="preserve">    </w:t>
      </w:r>
      <w:r>
        <w:rPr>
          <w:rFonts w:hint="eastAsia" w:ascii="宋体" w:hAnsi="宋体" w:eastAsia="仿宋_GB2312" w:cs="Times New Roman"/>
          <w:bCs/>
          <w:kern w:val="2"/>
          <w:sz w:val="32"/>
          <w:szCs w:val="32"/>
          <w:lang w:val="en-US" w:eastAsia="zh-CN" w:bidi="ar-SA"/>
        </w:rPr>
        <w:t>我局将本次绩效自评结果作为编制下一年度部门预算的重要依据，</w:t>
      </w:r>
      <w:r>
        <w:rPr>
          <w:rFonts w:hint="default" w:ascii="宋体" w:hAnsi="宋体" w:eastAsia="仿宋_GB2312" w:cs="Times New Roman"/>
          <w:bCs/>
          <w:kern w:val="2"/>
          <w:sz w:val="32"/>
          <w:szCs w:val="32"/>
          <w:lang w:val="en-US" w:eastAsia="zh-CN" w:bidi="ar-SA"/>
        </w:rPr>
        <w:t>对绩效好的项目优先保障，对绩效差、管理薄弱的项目拟按比例压减预算或取消项目立项。</w:t>
      </w:r>
      <w:r>
        <w:rPr>
          <w:rFonts w:hint="eastAsia" w:ascii="宋体" w:hAnsi="宋体" w:eastAsia="仿宋_GB2312" w:cs="Times New Roman"/>
          <w:bCs/>
          <w:kern w:val="2"/>
          <w:sz w:val="32"/>
          <w:szCs w:val="32"/>
          <w:lang w:val="en-US" w:eastAsia="zh-CN" w:bidi="ar-SA"/>
        </w:rPr>
        <w:t>针对自评发现的问题，已反馈相关责任科室，下一年度将重点关注。</w:t>
      </w:r>
      <w:r>
        <w:rPr>
          <w:rFonts w:hint="default" w:ascii="宋体" w:hAnsi="宋体" w:eastAsia="仿宋_GB2312" w:cs="Times New Roman"/>
          <w:bCs/>
          <w:kern w:val="2"/>
          <w:sz w:val="32"/>
          <w:szCs w:val="32"/>
          <w:lang w:val="en-US" w:eastAsia="zh-CN" w:bidi="ar-SA"/>
        </w:rPr>
        <w:t>本绩效自评总报告（除涉密内容外）将</w:t>
      </w:r>
      <w:r>
        <w:rPr>
          <w:rFonts w:hint="eastAsia" w:ascii="宋体" w:hAnsi="宋体" w:eastAsia="仿宋_GB2312" w:cs="Times New Roman"/>
          <w:bCs/>
          <w:kern w:val="2"/>
          <w:sz w:val="32"/>
          <w:szCs w:val="32"/>
          <w:lang w:val="en-US" w:eastAsia="zh-CN" w:bidi="ar-SA"/>
        </w:rPr>
        <w:t>提交市财政局审核，审核通过后将按照政府信息公开的有关规定予以公开</w:t>
      </w:r>
      <w:r>
        <w:rPr>
          <w:rFonts w:hint="default" w:ascii="宋体" w:hAnsi="宋体" w:eastAsia="仿宋_GB2312" w:cs="Times New Roman"/>
          <w:bCs/>
          <w:kern w:val="2"/>
          <w:sz w:val="32"/>
          <w:szCs w:val="32"/>
          <w:lang w:val="en-US" w:eastAsia="zh-CN" w:bidi="ar-SA"/>
        </w:rPr>
        <w:t>，</w:t>
      </w:r>
      <w:r>
        <w:rPr>
          <w:rFonts w:hint="eastAsia" w:ascii="宋体" w:hAnsi="宋体" w:eastAsia="仿宋_GB2312" w:cs="Times New Roman"/>
          <w:bCs/>
          <w:kern w:val="2"/>
          <w:sz w:val="32"/>
          <w:szCs w:val="32"/>
          <w:lang w:val="en-US" w:eastAsia="zh-CN" w:bidi="ar-SA"/>
        </w:rPr>
        <w:t>自觉</w:t>
      </w:r>
      <w:r>
        <w:rPr>
          <w:rFonts w:hint="default" w:ascii="宋体" w:hAnsi="宋体" w:eastAsia="仿宋_GB2312" w:cs="Times New Roman"/>
          <w:bCs/>
          <w:kern w:val="2"/>
          <w:sz w:val="32"/>
          <w:szCs w:val="32"/>
          <w:lang w:val="en-US" w:eastAsia="zh-CN" w:bidi="ar-SA"/>
        </w:rPr>
        <w:t>接受社会监督</w:t>
      </w:r>
      <w:r>
        <w:rPr>
          <w:rFonts w:hint="eastAsia" w:ascii="宋体" w:hAnsi="宋体" w:eastAsia="仿宋_GB2312" w:cs="Times New Roman"/>
          <w:bCs/>
          <w:kern w:val="2"/>
          <w:sz w:val="32"/>
          <w:szCs w:val="32"/>
          <w:lang w:val="en-US" w:eastAsia="zh-CN" w:bidi="ar-SA"/>
        </w:rPr>
        <w:t>。</w:t>
      </w:r>
    </w:p>
    <w:sectPr>
      <w:footerReference r:id="rId5" w:type="default"/>
      <w:pgSz w:w="11906" w:h="16838"/>
      <w:pgMar w:top="2098" w:right="1587" w:bottom="2098"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宋体-PUA">
    <w:panose1 w:val="02010600030101010101"/>
    <w:charset w:val="86"/>
    <w:family w:val="auto"/>
    <w:pitch w:val="default"/>
    <w:sig w:usb0="00000000" w:usb1="10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WAAAAZHJzL1BLAQIUABQAAAAIAIdO4kCzSVju0AAAAAUBAAAPAAAAAAAAAAEAIAAAADgAAABk&#10;cnMvZG93bnJldi54bWxQSwECFAAUAAAACACHTuJASLb2J9wCAAAkBgAADgAAAAAAAAABACAAAAA1&#10;AQAAZHJzL2Uyb0RvYy54bWxQSwUGAAAAAAYABgBZAQAAgwYAAAAA&#10;">
          <v:path/>
          <v:fill on="f" focussize="0,0"/>
          <v:stroke on="f" weight="0.5pt" joinstyle="miter"/>
          <v:imagedata o:title=""/>
          <o:lock v:ext="edit"/>
          <v:textbox inset="0mm,0mm,0mm,0mm" style="mso-fit-shape-to-text:t;">
            <w:txbxContent>
              <w:p>
                <w:pPr>
                  <w:pStyle w:val="7"/>
                  <w:rPr>
                    <w:rFonts w:asciiTheme="minorEastAsia" w:hAnsiTheme="minorEastAsia" w:eastAsiaTheme="minorEastAsia" w:cstheme="minorEastAsia"/>
                    <w:sz w:val="30"/>
                    <w:szCs w:val="30"/>
                  </w:rPr>
                </w:pPr>
                <w:r>
                  <w:rPr>
                    <w:rFonts w:hint="eastAsia" w:asciiTheme="minorEastAsia" w:hAnsiTheme="minorEastAsia" w:eastAsiaTheme="minorEastAsia" w:cstheme="minorEastAsia"/>
                    <w:sz w:val="30"/>
                    <w:szCs w:val="30"/>
                  </w:rPr>
                  <w:t xml:space="preserve">— </w:t>
                </w:r>
                <w:r>
                  <w:rPr>
                    <w:rFonts w:hint="eastAsia" w:asciiTheme="minorEastAsia" w:hAnsiTheme="minorEastAsia" w:eastAsiaTheme="minorEastAsia" w:cstheme="minorEastAsia"/>
                    <w:sz w:val="30"/>
                    <w:szCs w:val="30"/>
                  </w:rPr>
                  <w:fldChar w:fldCharType="begin"/>
                </w:r>
                <w:r>
                  <w:rPr>
                    <w:rFonts w:hint="eastAsia" w:asciiTheme="minorEastAsia" w:hAnsiTheme="minorEastAsia" w:eastAsiaTheme="minorEastAsia" w:cstheme="minorEastAsia"/>
                    <w:sz w:val="30"/>
                    <w:szCs w:val="30"/>
                  </w:rPr>
                  <w:instrText xml:space="preserve"> PAGE  \* MERGEFORMAT </w:instrText>
                </w:r>
                <w:r>
                  <w:rPr>
                    <w:rFonts w:hint="eastAsia" w:asciiTheme="minorEastAsia" w:hAnsiTheme="minorEastAsia" w:eastAsiaTheme="minorEastAsia" w:cstheme="minorEastAsia"/>
                    <w:sz w:val="30"/>
                    <w:szCs w:val="30"/>
                  </w:rPr>
                  <w:fldChar w:fldCharType="separate"/>
                </w:r>
                <w:r>
                  <w:rPr>
                    <w:rFonts w:asciiTheme="minorEastAsia" w:hAnsiTheme="minorEastAsia" w:eastAsiaTheme="minorEastAsia" w:cstheme="minorEastAsia"/>
                    <w:sz w:val="30"/>
                    <w:szCs w:val="30"/>
                  </w:rPr>
                  <w:t>33</w:t>
                </w:r>
                <w:r>
                  <w:rPr>
                    <w:rFonts w:hint="eastAsia" w:asciiTheme="minorEastAsia" w:hAnsiTheme="minorEastAsia" w:eastAsiaTheme="minorEastAsia" w:cstheme="minorEastAsia"/>
                    <w:sz w:val="30"/>
                    <w:szCs w:val="30"/>
                  </w:rPr>
                  <w:fldChar w:fldCharType="end"/>
                </w:r>
                <w:r>
                  <w:rPr>
                    <w:rFonts w:hint="eastAsia" w:asciiTheme="minorEastAsia" w:hAnsiTheme="minorEastAsia" w:eastAsiaTheme="minorEastAsia" w:cstheme="minorEastAsia"/>
                    <w:sz w:val="30"/>
                    <w:szCs w:val="30"/>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FC8226"/>
    <w:multiLevelType w:val="singleLevel"/>
    <w:tmpl w:val="DBFC822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FDDF3962"/>
    <w:rsid w:val="000D3242"/>
    <w:rsid w:val="00114F02"/>
    <w:rsid w:val="00283A0A"/>
    <w:rsid w:val="002D166D"/>
    <w:rsid w:val="003C2998"/>
    <w:rsid w:val="00732B2A"/>
    <w:rsid w:val="007576BF"/>
    <w:rsid w:val="00894412"/>
    <w:rsid w:val="008969F1"/>
    <w:rsid w:val="008A57E7"/>
    <w:rsid w:val="008D62AB"/>
    <w:rsid w:val="00A878BE"/>
    <w:rsid w:val="00C4572F"/>
    <w:rsid w:val="00C72F37"/>
    <w:rsid w:val="00D35516"/>
    <w:rsid w:val="0EFF16C5"/>
    <w:rsid w:val="237F7C5A"/>
    <w:rsid w:val="2DB66551"/>
    <w:rsid w:val="2F69A703"/>
    <w:rsid w:val="2F774324"/>
    <w:rsid w:val="37BBEC77"/>
    <w:rsid w:val="39666421"/>
    <w:rsid w:val="3AB309CD"/>
    <w:rsid w:val="3B1FB02C"/>
    <w:rsid w:val="3E0BB42A"/>
    <w:rsid w:val="3E577998"/>
    <w:rsid w:val="3F36B973"/>
    <w:rsid w:val="3FB765F1"/>
    <w:rsid w:val="3FFB3DF0"/>
    <w:rsid w:val="45FBF6BE"/>
    <w:rsid w:val="47DE9435"/>
    <w:rsid w:val="4ADFA154"/>
    <w:rsid w:val="4BFF6DEA"/>
    <w:rsid w:val="4EFE0157"/>
    <w:rsid w:val="4FE31F51"/>
    <w:rsid w:val="51FE178A"/>
    <w:rsid w:val="53BE1DE9"/>
    <w:rsid w:val="53FCC70A"/>
    <w:rsid w:val="53FFE409"/>
    <w:rsid w:val="557FEAFA"/>
    <w:rsid w:val="57BD2317"/>
    <w:rsid w:val="57CFF277"/>
    <w:rsid w:val="5B7FC2DA"/>
    <w:rsid w:val="5CF9E65C"/>
    <w:rsid w:val="5DBEF876"/>
    <w:rsid w:val="5EB7720A"/>
    <w:rsid w:val="5F7E35EC"/>
    <w:rsid w:val="5F97AC70"/>
    <w:rsid w:val="5FFF5CDD"/>
    <w:rsid w:val="60BB0B2C"/>
    <w:rsid w:val="67ADBCB8"/>
    <w:rsid w:val="67AF411B"/>
    <w:rsid w:val="67FBB866"/>
    <w:rsid w:val="68F74C44"/>
    <w:rsid w:val="6BBFC81D"/>
    <w:rsid w:val="6BF50F19"/>
    <w:rsid w:val="6D9FD499"/>
    <w:rsid w:val="6DFFDBBA"/>
    <w:rsid w:val="6EFB9056"/>
    <w:rsid w:val="6F7D51D6"/>
    <w:rsid w:val="6FAEB52D"/>
    <w:rsid w:val="6FAFA9A6"/>
    <w:rsid w:val="6FD507FB"/>
    <w:rsid w:val="6FDB02D4"/>
    <w:rsid w:val="6FDF872F"/>
    <w:rsid w:val="6FEBEFF4"/>
    <w:rsid w:val="6FEEC51C"/>
    <w:rsid w:val="73FF1A45"/>
    <w:rsid w:val="76FF9322"/>
    <w:rsid w:val="7737387B"/>
    <w:rsid w:val="777FA4B5"/>
    <w:rsid w:val="77FBC925"/>
    <w:rsid w:val="77FBF98B"/>
    <w:rsid w:val="795F70D1"/>
    <w:rsid w:val="79CD3956"/>
    <w:rsid w:val="7A3BC3AB"/>
    <w:rsid w:val="7AC6F55D"/>
    <w:rsid w:val="7AFEE707"/>
    <w:rsid w:val="7BED1B6A"/>
    <w:rsid w:val="7C4FB2FF"/>
    <w:rsid w:val="7D4525C9"/>
    <w:rsid w:val="7DA899A8"/>
    <w:rsid w:val="7DD7F153"/>
    <w:rsid w:val="7E668592"/>
    <w:rsid w:val="7EF7411C"/>
    <w:rsid w:val="7F779E7B"/>
    <w:rsid w:val="7FADFCFC"/>
    <w:rsid w:val="7FAE734E"/>
    <w:rsid w:val="7FBBFA7A"/>
    <w:rsid w:val="7FD5FF1D"/>
    <w:rsid w:val="7FD7DDDC"/>
    <w:rsid w:val="7FEB62E6"/>
    <w:rsid w:val="7FEE01F8"/>
    <w:rsid w:val="7FF97F96"/>
    <w:rsid w:val="7FFF6BB7"/>
    <w:rsid w:val="8502492B"/>
    <w:rsid w:val="87F0F4E2"/>
    <w:rsid w:val="9AEAD053"/>
    <w:rsid w:val="9D379DC1"/>
    <w:rsid w:val="9D591ED4"/>
    <w:rsid w:val="A7FFB19B"/>
    <w:rsid w:val="AF47FB8B"/>
    <w:rsid w:val="AFBFF621"/>
    <w:rsid w:val="AFF32809"/>
    <w:rsid w:val="AFFF02AF"/>
    <w:rsid w:val="B477CC8A"/>
    <w:rsid w:val="B63EAD49"/>
    <w:rsid w:val="B7CCCA3B"/>
    <w:rsid w:val="B9910016"/>
    <w:rsid w:val="BBF6E1C5"/>
    <w:rsid w:val="BBFF0379"/>
    <w:rsid w:val="BF7FA433"/>
    <w:rsid w:val="BF7FB645"/>
    <w:rsid w:val="BFBBB692"/>
    <w:rsid w:val="BFDFBFC0"/>
    <w:rsid w:val="BFDFE2D6"/>
    <w:rsid w:val="CA7BFFEF"/>
    <w:rsid w:val="CBEE956C"/>
    <w:rsid w:val="CDD77BA1"/>
    <w:rsid w:val="CDFE255C"/>
    <w:rsid w:val="CE671315"/>
    <w:rsid w:val="CFFD7B54"/>
    <w:rsid w:val="D37A080E"/>
    <w:rsid w:val="D67B33E3"/>
    <w:rsid w:val="D7CF9804"/>
    <w:rsid w:val="D97FB691"/>
    <w:rsid w:val="DA5536C5"/>
    <w:rsid w:val="DE5F235D"/>
    <w:rsid w:val="DF779338"/>
    <w:rsid w:val="DFB581C0"/>
    <w:rsid w:val="E75A977D"/>
    <w:rsid w:val="E7BF93BE"/>
    <w:rsid w:val="E7CFC603"/>
    <w:rsid w:val="EBDF36C9"/>
    <w:rsid w:val="EBFA30DD"/>
    <w:rsid w:val="ECDB1A73"/>
    <w:rsid w:val="EDB94D51"/>
    <w:rsid w:val="EDEF84CD"/>
    <w:rsid w:val="EEEF7650"/>
    <w:rsid w:val="EEFDD5DE"/>
    <w:rsid w:val="EF691AD7"/>
    <w:rsid w:val="EF7E499C"/>
    <w:rsid w:val="EFF73370"/>
    <w:rsid w:val="EFFDE595"/>
    <w:rsid w:val="EFFF8BD9"/>
    <w:rsid w:val="F07F585F"/>
    <w:rsid w:val="F2BC4E40"/>
    <w:rsid w:val="F5F6EF1A"/>
    <w:rsid w:val="F5FFEB52"/>
    <w:rsid w:val="F6E794B2"/>
    <w:rsid w:val="F6EF0C18"/>
    <w:rsid w:val="F6FB752A"/>
    <w:rsid w:val="F76E69A0"/>
    <w:rsid w:val="F7BFCED0"/>
    <w:rsid w:val="F7D7DB0A"/>
    <w:rsid w:val="F7F963C3"/>
    <w:rsid w:val="F95D80E1"/>
    <w:rsid w:val="FAE5B620"/>
    <w:rsid w:val="FB1F1E5D"/>
    <w:rsid w:val="FB56069B"/>
    <w:rsid w:val="FBFF26B6"/>
    <w:rsid w:val="FCBF7DD4"/>
    <w:rsid w:val="FCF4B51A"/>
    <w:rsid w:val="FCFF6D77"/>
    <w:rsid w:val="FDDDE4B2"/>
    <w:rsid w:val="FDDF3962"/>
    <w:rsid w:val="FDF4AA0B"/>
    <w:rsid w:val="FDFF4D36"/>
    <w:rsid w:val="FE9ACC5D"/>
    <w:rsid w:val="FE9F73C3"/>
    <w:rsid w:val="FEEFD0BA"/>
    <w:rsid w:val="FF179E57"/>
    <w:rsid w:val="FF3F049F"/>
    <w:rsid w:val="FF5F56A9"/>
    <w:rsid w:val="FF772171"/>
    <w:rsid w:val="FF8F6B31"/>
    <w:rsid w:val="FFDD0A8D"/>
    <w:rsid w:val="FFEDE778"/>
    <w:rsid w:val="FFEF2EAF"/>
    <w:rsid w:val="FFF8C12F"/>
    <w:rsid w:val="FFFED2BB"/>
    <w:rsid w:val="FFFF60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579" w:lineRule="exact"/>
      <w:jc w:val="both"/>
    </w:pPr>
    <w:rPr>
      <w:rFonts w:ascii="Times New Roman" w:hAnsi="Times New Roman" w:eastAsia="宋体" w:cs="Times New Roman"/>
      <w:kern w:val="2"/>
      <w:sz w:val="32"/>
      <w:szCs w:val="28"/>
      <w:lang w:val="en-US" w:eastAsia="zh-CN" w:bidi="ar-SA"/>
    </w:rPr>
  </w:style>
  <w:style w:type="paragraph" w:styleId="3">
    <w:name w:val="heading 1"/>
    <w:basedOn w:val="1"/>
    <w:next w:val="1"/>
    <w:qFormat/>
    <w:uiPriority w:val="0"/>
    <w:pPr>
      <w:keepNext/>
      <w:keepLines/>
      <w:spacing w:line="576" w:lineRule="auto"/>
      <w:outlineLvl w:val="0"/>
    </w:pPr>
    <w:rPr>
      <w:b/>
      <w:kern w:val="44"/>
      <w:sz w:val="44"/>
    </w:rPr>
  </w:style>
  <w:style w:type="paragraph" w:styleId="4">
    <w:name w:val="heading 2"/>
    <w:basedOn w:val="1"/>
    <w:next w:val="1"/>
    <w:qFormat/>
    <w:uiPriority w:val="9"/>
    <w:pPr>
      <w:ind w:firstLine="200" w:firstLineChars="200"/>
      <w:outlineLvl w:val="1"/>
    </w:pPr>
    <w:rPr>
      <w:rFonts w:ascii="楷体" w:eastAsia="楷体"/>
      <w:bCs/>
      <w:kern w:val="0"/>
      <w:sz w:val="20"/>
      <w:szCs w:val="20"/>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footnote text"/>
    <w:basedOn w:val="1"/>
    <w:qFormat/>
    <w:uiPriority w:val="0"/>
    <w:pPr>
      <w:snapToGrid w:val="0"/>
      <w:jc w:val="left"/>
    </w:pPr>
    <w:rPr>
      <w:sz w:val="18"/>
      <w:szCs w:val="18"/>
    </w:rPr>
  </w:style>
  <w:style w:type="paragraph" w:styleId="5">
    <w:name w:val="Body Text"/>
    <w:basedOn w:val="1"/>
    <w:next w:val="6"/>
    <w:qFormat/>
    <w:uiPriority w:val="0"/>
    <w:pPr>
      <w:widowControl w:val="0"/>
      <w:spacing w:after="120"/>
    </w:pPr>
    <w:rPr>
      <w:sz w:val="21"/>
      <w:szCs w:val="22"/>
    </w:rPr>
  </w:style>
  <w:style w:type="paragraph" w:customStyle="1" w:styleId="6">
    <w:name w:val="正文文本 21"/>
    <w:basedOn w:val="1"/>
    <w:qFormat/>
    <w:uiPriority w:val="0"/>
    <w:pPr>
      <w:spacing w:after="120" w:line="480" w:lineRule="auto"/>
    </w:pPr>
    <w:rPr>
      <w:szCs w:val="24"/>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0">
    <w:name w:val="Normal (Web)"/>
    <w:basedOn w:val="1"/>
    <w:unhideWhenUsed/>
    <w:qFormat/>
    <w:uiPriority w:val="99"/>
    <w:pPr>
      <w:spacing w:before="100" w:beforeAutospacing="1" w:after="100" w:afterAutospacing="1"/>
      <w:jc w:val="left"/>
    </w:pPr>
    <w:rPr>
      <w:kern w:val="0"/>
      <w:sz w:val="24"/>
    </w:rPr>
  </w:style>
  <w:style w:type="paragraph" w:styleId="11">
    <w:name w:val="Title"/>
    <w:basedOn w:val="1"/>
    <w:next w:val="1"/>
    <w:qFormat/>
    <w:uiPriority w:val="1"/>
    <w:pPr>
      <w:jc w:val="center"/>
    </w:pPr>
    <w:rPr>
      <w:rFonts w:ascii="方正小标宋简体" w:eastAsia="方正小标宋简体"/>
      <w:bCs/>
      <w:kern w:val="0"/>
      <w:sz w:val="44"/>
      <w:szCs w:val="20"/>
    </w:rPr>
  </w:style>
  <w:style w:type="paragraph" w:customStyle="1" w:styleId="14">
    <w:name w:val="UserStyle_0"/>
    <w:basedOn w:val="1"/>
    <w:next w:val="15"/>
    <w:qFormat/>
    <w:uiPriority w:val="0"/>
    <w:pPr>
      <w:spacing w:line="580" w:lineRule="exact"/>
      <w:ind w:firstLine="630"/>
      <w:textAlignment w:val="baseline"/>
    </w:pPr>
    <w:rPr>
      <w:rFonts w:ascii="仿宋_GB2312"/>
      <w:sz w:val="21"/>
      <w:szCs w:val="24"/>
    </w:rPr>
  </w:style>
  <w:style w:type="paragraph" w:customStyle="1" w:styleId="15">
    <w:name w:val="UserStyle_1"/>
    <w:basedOn w:val="1"/>
    <w:qFormat/>
    <w:uiPriority w:val="0"/>
    <w:pPr>
      <w:ind w:firstLine="420" w:firstLineChars="200"/>
      <w:textAlignment w:val="baseline"/>
    </w:pPr>
    <w:rPr>
      <w:rFonts w:eastAsia="仿宋"/>
      <w:sz w:val="21"/>
      <w:szCs w:val="24"/>
    </w:rPr>
  </w:style>
  <w:style w:type="paragraph" w:customStyle="1" w:styleId="16">
    <w:name w:val="正文（公文））"/>
    <w:basedOn w:val="1"/>
    <w:qFormat/>
    <w:uiPriority w:val="0"/>
    <w:pPr>
      <w:spacing w:line="560" w:lineRule="exact"/>
      <w:ind w:firstLine="880" w:firstLineChars="200"/>
    </w:pPr>
    <w:rPr>
      <w:rFonts w:eastAsia="仿宋_GB2312"/>
      <w:color w:val="000000"/>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2333</Words>
  <Characters>13302</Characters>
  <Lines>110</Lines>
  <Paragraphs>31</Paragraphs>
  <TotalTime>7</TotalTime>
  <ScaleCrop>false</ScaleCrop>
  <LinksUpToDate>false</LinksUpToDate>
  <CharactersWithSpaces>15604</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2025-03-18T17:33:00Z</dcterms:created>
  <dc:creator>user</dc:creator>
  <cp:lastModifiedBy>user</cp:lastModifiedBy>
  <dcterms:modified xsi:type="dcterms:W3CDTF">2026-03-10T14:42:14Z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ies>
</file>