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1C5" w:rsidRDefault="008D01C5" w:rsidP="008D01C5">
      <w:pPr>
        <w:spacing w:line="560" w:lineRule="exact"/>
        <w:rPr>
          <w:rFonts w:ascii="黑体" w:eastAsia="黑体" w:hAnsi="黑体" w:cs="黑体"/>
          <w:sz w:val="32"/>
          <w:szCs w:val="32"/>
        </w:rPr>
      </w:pPr>
      <w:r>
        <w:rPr>
          <w:rFonts w:ascii="黑体" w:eastAsia="黑体" w:hAnsi="黑体" w:cs="黑体" w:hint="eastAsia"/>
          <w:sz w:val="32"/>
          <w:szCs w:val="32"/>
        </w:rPr>
        <w:t>附件</w:t>
      </w:r>
    </w:p>
    <w:p w:rsidR="008D01C5" w:rsidRDefault="008D01C5" w:rsidP="008D01C5">
      <w:pPr>
        <w:spacing w:line="560" w:lineRule="exact"/>
        <w:jc w:val="center"/>
        <w:rPr>
          <w:rFonts w:ascii="方正小标宋简体" w:eastAsia="方正小标宋简体" w:hAnsi="方正小标宋简体" w:cs="方正小标宋简体"/>
          <w:sz w:val="44"/>
          <w:szCs w:val="44"/>
        </w:rPr>
      </w:pPr>
    </w:p>
    <w:p w:rsidR="008D01C5" w:rsidRDefault="008D01C5" w:rsidP="008D01C5">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赣州市高层次人才联谊会考评细则</w:t>
      </w:r>
    </w:p>
    <w:tbl>
      <w:tblPr>
        <w:tblW w:w="14676" w:type="dxa"/>
        <w:jc w:val="center"/>
        <w:tblLayout w:type="fixed"/>
        <w:tblCellMar>
          <w:top w:w="15" w:type="dxa"/>
          <w:left w:w="15" w:type="dxa"/>
          <w:bottom w:w="15" w:type="dxa"/>
          <w:right w:w="15" w:type="dxa"/>
        </w:tblCellMar>
        <w:tblLook w:val="04A0"/>
      </w:tblPr>
      <w:tblGrid>
        <w:gridCol w:w="594"/>
        <w:gridCol w:w="1718"/>
        <w:gridCol w:w="1972"/>
        <w:gridCol w:w="7608"/>
        <w:gridCol w:w="1514"/>
        <w:gridCol w:w="1270"/>
      </w:tblGrid>
      <w:tr w:rsidR="008D01C5" w:rsidTr="002A1650">
        <w:trPr>
          <w:trHeight w:val="480"/>
          <w:tblHeader/>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lang/>
              </w:rPr>
              <w:t>序号</w:t>
            </w:r>
          </w:p>
        </w:tc>
        <w:tc>
          <w:tcPr>
            <w:tcW w:w="17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lang/>
              </w:rPr>
              <w:t>考评项目</w:t>
            </w:r>
          </w:p>
        </w:tc>
        <w:tc>
          <w:tcPr>
            <w:tcW w:w="95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lang/>
              </w:rPr>
              <w:t>考  评   指   标</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lang/>
              </w:rPr>
              <w:t>小计得分</w:t>
            </w:r>
          </w:p>
        </w:tc>
        <w:tc>
          <w:tcPr>
            <w:tcW w:w="12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lang/>
              </w:rPr>
              <w:t>合计得分</w:t>
            </w:r>
          </w:p>
        </w:tc>
      </w:tr>
      <w:tr w:rsidR="008D01C5" w:rsidTr="002A1650">
        <w:trPr>
          <w:trHeight w:val="495"/>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1</w:t>
            </w:r>
          </w:p>
        </w:tc>
        <w:tc>
          <w:tcPr>
            <w:tcW w:w="17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组织健全，机构设置合理（10分）</w:t>
            </w:r>
          </w:p>
        </w:tc>
        <w:tc>
          <w:tcPr>
            <w:tcW w:w="197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联谊会按照规定的程序组建，经民政部门审查备案（3分）</w:t>
            </w:r>
          </w:p>
        </w:tc>
        <w:tc>
          <w:tcPr>
            <w:tcW w:w="7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联谊会有组建（筹备）方案，方案条理清晰，要素完整，可操作性强（1分）。</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495"/>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2</w:t>
            </w:r>
          </w:p>
        </w:tc>
        <w:tc>
          <w:tcPr>
            <w:tcW w:w="17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19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7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联谊会经民政部门审查备案（注册登记）,已登记的年审合格（1分）。</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495"/>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3</w:t>
            </w:r>
          </w:p>
        </w:tc>
        <w:tc>
          <w:tcPr>
            <w:tcW w:w="17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19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7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联谊会按方案设定的程序、时间成立或换届（1分）。</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1020"/>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4</w:t>
            </w:r>
          </w:p>
        </w:tc>
        <w:tc>
          <w:tcPr>
            <w:tcW w:w="17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197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联谊会在职人员相对稳定，入会会员人数符合组建（筹备）方案要求（5分）</w:t>
            </w:r>
          </w:p>
        </w:tc>
        <w:tc>
          <w:tcPr>
            <w:tcW w:w="7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担任联谊会会长、副会长、秘书长、副秘书长、理事等领导职务的人员相对稳定，会长应是在行业内有较高影响力的高层次以上人才（2分），无特殊原因，能完成一届任期（1分）。</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495"/>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5</w:t>
            </w:r>
          </w:p>
        </w:tc>
        <w:tc>
          <w:tcPr>
            <w:tcW w:w="17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19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7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入会会员能达到组建（筹备）方案计划规模的90%以上（2分）。</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480"/>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6</w:t>
            </w:r>
          </w:p>
        </w:tc>
        <w:tc>
          <w:tcPr>
            <w:tcW w:w="17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95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联谊会组织会员发挥作用好，入会会员能积极参加联谊会活动（2分）。</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495"/>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7</w:t>
            </w:r>
          </w:p>
        </w:tc>
        <w:tc>
          <w:tcPr>
            <w:tcW w:w="17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会员入会程序规范，手续完整（10）</w:t>
            </w:r>
          </w:p>
        </w:tc>
        <w:tc>
          <w:tcPr>
            <w:tcW w:w="197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会员身份设置合理（4分）</w:t>
            </w:r>
          </w:p>
        </w:tc>
        <w:tc>
          <w:tcPr>
            <w:tcW w:w="7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入会会员应经过相关人才认定机构或有关部门认定的高层次以上人才（2分）。</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780"/>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8</w:t>
            </w:r>
          </w:p>
        </w:tc>
        <w:tc>
          <w:tcPr>
            <w:tcW w:w="17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19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76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入会会员思想正派，为人正直，拥护中国共产党的路线、方针、政策，遵纪守法，愿为国家经济建设建言献策（2分）。</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495"/>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9</w:t>
            </w:r>
          </w:p>
        </w:tc>
        <w:tc>
          <w:tcPr>
            <w:tcW w:w="17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95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会员入会应以自愿加入为原则，入会会员个人有申请，单位有批准、联谊会有审查（3分）。</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495"/>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10</w:t>
            </w:r>
          </w:p>
        </w:tc>
        <w:tc>
          <w:tcPr>
            <w:tcW w:w="17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95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会员成份应覆盖当地多个行业，且能突出当地特色产业（3分）。</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495"/>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11</w:t>
            </w:r>
          </w:p>
        </w:tc>
        <w:tc>
          <w:tcPr>
            <w:tcW w:w="17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联谊会活动组织规范，形式多样（10分）</w:t>
            </w:r>
          </w:p>
        </w:tc>
        <w:tc>
          <w:tcPr>
            <w:tcW w:w="95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联谊会活动指导思想符合党的方针政策，符合政府主导思想（2分）。</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495"/>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12</w:t>
            </w:r>
          </w:p>
        </w:tc>
        <w:tc>
          <w:tcPr>
            <w:tcW w:w="17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95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联谊会组织活动规范，活动前有方案，活动中有记录，活动后有成果（4分）。</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495"/>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lastRenderedPageBreak/>
              <w:t>13</w:t>
            </w:r>
          </w:p>
        </w:tc>
        <w:tc>
          <w:tcPr>
            <w:tcW w:w="17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95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联谊会组织活动形式多样，能达到交流经验、增长知识、开阔视野等效果（4分）。</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1020"/>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14</w:t>
            </w:r>
          </w:p>
        </w:tc>
        <w:tc>
          <w:tcPr>
            <w:tcW w:w="17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联谊会推动引才聚智效果明显（60分）</w:t>
            </w:r>
          </w:p>
        </w:tc>
        <w:tc>
          <w:tcPr>
            <w:tcW w:w="95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联谊会能为当地经济建设建言献策。围绕市委、市政府的重大决策部署和不同时期、不同阶段的中心工作，积极建言献策（政府相关部门每认可一条3分），提供务实参考，开展服务活动，组织专家进行科技攻关及开展各项专业技术培训（每组织1次培训或服务活动2分）（本条共20分封顶）。</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780"/>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15</w:t>
            </w:r>
          </w:p>
        </w:tc>
        <w:tc>
          <w:tcPr>
            <w:tcW w:w="17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95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联谊会能为促进当地企事业单位发展，提供有力平台支撑，能为协助企事业单位促成项目合作、技术合作、资源共享等（每促成1项合作5分，本条共20分封顶）。</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960"/>
          <w:jc w:val="center"/>
        </w:trPr>
        <w:tc>
          <w:tcPr>
            <w:tcW w:w="594" w:type="dxa"/>
            <w:tcBorders>
              <w:top w:val="single" w:sz="4" w:space="0" w:color="000000"/>
              <w:left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16</w:t>
            </w:r>
          </w:p>
        </w:tc>
        <w:tc>
          <w:tcPr>
            <w:tcW w:w="17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9580" w:type="dxa"/>
            <w:gridSpan w:val="2"/>
            <w:tcBorders>
              <w:top w:val="single" w:sz="4" w:space="0" w:color="000000"/>
              <w:left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联谊会能为当地人才引进搭建平台，能完成年内制订的引才目标，能通过会员引才聚智。引进1名A类以上人才20分（20分封顶），引进1名B类人才5分（20分封顶），引进1名C类人才3分（18分封顶),引进1名D类人才2分（18分封顶），如引进的人才中即有B类又有C类或D类人才最高18分封顶。</w:t>
            </w:r>
          </w:p>
        </w:tc>
        <w:tc>
          <w:tcPr>
            <w:tcW w:w="1514" w:type="dxa"/>
            <w:shd w:val="clear" w:color="auto" w:fill="auto"/>
            <w:vAlign w:val="center"/>
          </w:tcPr>
          <w:p w:rsidR="008D01C5" w:rsidRDefault="008D01C5" w:rsidP="002A1650">
            <w:pPr>
              <w:rPr>
                <w:rFonts w:ascii="宋体" w:hAnsi="宋体"/>
                <w:color w:val="000000"/>
                <w:sz w:val="22"/>
              </w:rPr>
            </w:pPr>
          </w:p>
        </w:tc>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495"/>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17</w:t>
            </w:r>
          </w:p>
        </w:tc>
        <w:tc>
          <w:tcPr>
            <w:tcW w:w="17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联谊会活动经费收支手续完整，开支项目合理（10分）</w:t>
            </w:r>
          </w:p>
        </w:tc>
        <w:tc>
          <w:tcPr>
            <w:tcW w:w="95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建立健全财务管理制度（2分）；规范使用各种票据（1分）。</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495"/>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18</w:t>
            </w:r>
          </w:p>
        </w:tc>
        <w:tc>
          <w:tcPr>
            <w:tcW w:w="17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95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固定资产、财务管理有专人负责，能做到账物相符，收支合法、合规（4分）。</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495"/>
          <w:jc w:val="center"/>
        </w:trPr>
        <w:tc>
          <w:tcPr>
            <w:tcW w:w="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宋体" w:hAnsi="宋体"/>
                <w:color w:val="000000"/>
                <w:sz w:val="22"/>
              </w:rPr>
            </w:pPr>
            <w:r>
              <w:rPr>
                <w:rFonts w:ascii="宋体" w:hAnsi="宋体" w:hint="eastAsia"/>
                <w:color w:val="000000"/>
                <w:kern w:val="0"/>
                <w:sz w:val="22"/>
                <w:lang/>
              </w:rPr>
              <w:t>19</w:t>
            </w:r>
          </w:p>
        </w:tc>
        <w:tc>
          <w:tcPr>
            <w:tcW w:w="17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c>
          <w:tcPr>
            <w:tcW w:w="95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left"/>
              <w:textAlignment w:val="center"/>
              <w:rPr>
                <w:rFonts w:ascii="宋体" w:hAnsi="宋体"/>
                <w:color w:val="000000"/>
                <w:sz w:val="22"/>
              </w:rPr>
            </w:pPr>
            <w:r>
              <w:rPr>
                <w:rFonts w:ascii="宋体" w:hAnsi="宋体" w:hint="eastAsia"/>
                <w:color w:val="000000"/>
                <w:kern w:val="0"/>
                <w:sz w:val="22"/>
                <w:lang/>
              </w:rPr>
              <w:t>联谊会经费收支情况每年应经有资质的第三方机构审核并出具审计报告（3分）。</w:t>
            </w:r>
            <w:bookmarkStart w:id="0" w:name="_GoBack"/>
            <w:bookmarkEnd w:id="0"/>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jc w:val="center"/>
              <w:rPr>
                <w:rFonts w:ascii="宋体" w:hAnsi="宋体"/>
                <w:color w:val="000000"/>
                <w:sz w:val="22"/>
              </w:rPr>
            </w:pPr>
          </w:p>
        </w:tc>
      </w:tr>
      <w:tr w:rsidR="008D01C5" w:rsidTr="002A1650">
        <w:trPr>
          <w:trHeight w:val="480"/>
          <w:jc w:val="center"/>
        </w:trPr>
        <w:tc>
          <w:tcPr>
            <w:tcW w:w="1340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黑体" w:eastAsia="黑体" w:hAnsi="宋体" w:cs="黑体"/>
                <w:color w:val="000000"/>
                <w:sz w:val="22"/>
              </w:rPr>
            </w:pPr>
            <w:r>
              <w:rPr>
                <w:rFonts w:ascii="黑体" w:eastAsia="黑体" w:hAnsi="宋体" w:cs="黑体" w:hint="eastAsia"/>
                <w:color w:val="000000"/>
                <w:kern w:val="0"/>
                <w:sz w:val="22"/>
                <w:lang/>
              </w:rPr>
              <w:t>总     计</w:t>
            </w:r>
          </w:p>
        </w:tc>
        <w:tc>
          <w:tcPr>
            <w:tcW w:w="12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r>
      <w:tr w:rsidR="008D01C5" w:rsidTr="002A1650">
        <w:trPr>
          <w:trHeight w:val="480"/>
          <w:jc w:val="center"/>
        </w:trPr>
        <w:tc>
          <w:tcPr>
            <w:tcW w:w="23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黑体" w:eastAsia="黑体" w:hAnsi="宋体" w:cs="黑体"/>
                <w:color w:val="000000"/>
                <w:sz w:val="22"/>
              </w:rPr>
            </w:pPr>
            <w:r>
              <w:rPr>
                <w:rFonts w:ascii="黑体" w:eastAsia="黑体" w:hAnsi="宋体" w:cs="黑体" w:hint="eastAsia"/>
                <w:color w:val="000000"/>
                <w:kern w:val="0"/>
                <w:sz w:val="22"/>
                <w:lang/>
              </w:rPr>
              <w:t>考评等次</w:t>
            </w:r>
          </w:p>
        </w:tc>
        <w:tc>
          <w:tcPr>
            <w:tcW w:w="1109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widowControl/>
              <w:jc w:val="center"/>
              <w:textAlignment w:val="center"/>
              <w:rPr>
                <w:rFonts w:ascii="黑体" w:eastAsia="黑体" w:hAnsi="宋体" w:cs="黑体"/>
                <w:color w:val="000000"/>
                <w:sz w:val="22"/>
              </w:rPr>
            </w:pPr>
            <w:r>
              <w:rPr>
                <w:rFonts w:ascii="黑体" w:eastAsia="黑体" w:hAnsi="宋体" w:cs="黑体" w:hint="eastAsia"/>
                <w:color w:val="000000"/>
                <w:kern w:val="0"/>
                <w:sz w:val="22"/>
                <w:lang/>
              </w:rPr>
              <w:t>59分（含）以下为不合格，60－79分为合格，80－89分为良好，90分以上为优秀</w:t>
            </w:r>
          </w:p>
        </w:tc>
        <w:tc>
          <w:tcPr>
            <w:tcW w:w="12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01C5" w:rsidRDefault="008D01C5" w:rsidP="002A1650">
            <w:pPr>
              <w:rPr>
                <w:rFonts w:ascii="宋体" w:hAnsi="宋体"/>
                <w:color w:val="000000"/>
                <w:sz w:val="22"/>
              </w:rPr>
            </w:pPr>
          </w:p>
        </w:tc>
      </w:tr>
    </w:tbl>
    <w:p w:rsidR="008D01C5" w:rsidRDefault="008D01C5" w:rsidP="008D01C5">
      <w:pPr>
        <w:spacing w:line="600" w:lineRule="exact"/>
        <w:ind w:firstLineChars="1600" w:firstLine="5120"/>
        <w:rPr>
          <w:rFonts w:ascii="Times New Roman" w:eastAsia="仿宋_GB2312" w:hAnsi="Times New Roman" w:cs="Times New Roman"/>
          <w:sz w:val="32"/>
          <w:szCs w:val="32"/>
        </w:rPr>
      </w:pPr>
    </w:p>
    <w:p w:rsidR="00C35DBA" w:rsidRPr="008D01C5" w:rsidRDefault="00C35DBA"/>
    <w:sectPr w:rsidR="00C35DBA" w:rsidRPr="008D01C5" w:rsidSect="008D01C5">
      <w:pgSz w:w="16838" w:h="11906" w:orient="landscape"/>
      <w:pgMar w:top="1134" w:right="1440" w:bottom="1134"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5DBA" w:rsidRDefault="00C35DBA" w:rsidP="008D01C5">
      <w:r>
        <w:separator/>
      </w:r>
    </w:p>
  </w:endnote>
  <w:endnote w:type="continuationSeparator" w:id="1">
    <w:p w:rsidR="00C35DBA" w:rsidRDefault="00C35DBA" w:rsidP="008D01C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5DBA" w:rsidRDefault="00C35DBA" w:rsidP="008D01C5">
      <w:r>
        <w:separator/>
      </w:r>
    </w:p>
  </w:footnote>
  <w:footnote w:type="continuationSeparator" w:id="1">
    <w:p w:rsidR="00C35DBA" w:rsidRDefault="00C35DBA" w:rsidP="008D01C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01C5"/>
    <w:rsid w:val="008D01C5"/>
    <w:rsid w:val="00C35D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01C5"/>
    <w:pPr>
      <w:widowControl w:val="0"/>
      <w:jc w:val="both"/>
    </w:pPr>
    <w:rPr>
      <w:rFonts w:ascii="Calibri" w:eastAsia="宋体" w:hAnsi="Calibri" w:cs="宋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D01C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D01C5"/>
    <w:rPr>
      <w:sz w:val="18"/>
      <w:szCs w:val="18"/>
    </w:rPr>
  </w:style>
  <w:style w:type="paragraph" w:styleId="a4">
    <w:name w:val="footer"/>
    <w:basedOn w:val="a"/>
    <w:link w:val="Char0"/>
    <w:uiPriority w:val="99"/>
    <w:semiHidden/>
    <w:unhideWhenUsed/>
    <w:rsid w:val="008D01C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8D01C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681</Words>
  <Characters>689</Characters>
  <Application>Microsoft Office Word</Application>
  <DocSecurity>0</DocSecurity>
  <Lines>36</Lines>
  <Paragraphs>27</Paragraphs>
  <ScaleCrop>false</ScaleCrop>
  <Company>Microsoft</Company>
  <LinksUpToDate>false</LinksUpToDate>
  <CharactersWithSpaces>1343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MM</cp:lastModifiedBy>
  <cp:revision>2</cp:revision>
  <dcterms:created xsi:type="dcterms:W3CDTF">2022-01-27T10:51:00Z</dcterms:created>
  <dcterms:modified xsi:type="dcterms:W3CDTF">2022-01-27T10:52:00Z</dcterms:modified>
</cp:coreProperties>
</file>