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275E3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方正小标宋简体" w:cs="方正小标宋简体"/>
          <w:sz w:val="44"/>
          <w:szCs w:val="44"/>
        </w:rPr>
      </w:pPr>
      <w:r>
        <w:rPr>
          <w:rFonts w:hint="eastAsia" w:ascii="宋体" w:hAnsi="宋体" w:eastAsia="方正小标宋简体" w:cs="方正小标宋简体"/>
          <w:sz w:val="44"/>
          <w:szCs w:val="44"/>
          <w:lang w:eastAsia="zh-CN"/>
        </w:rPr>
        <w:t>赣州市</w:t>
      </w:r>
      <w:r>
        <w:rPr>
          <w:rFonts w:hint="eastAsia" w:ascii="宋体" w:hAnsi="宋体" w:eastAsia="方正小标宋简体" w:cs="方正小标宋简体"/>
          <w:sz w:val="44"/>
          <w:szCs w:val="44"/>
        </w:rPr>
        <w:t>合作银行经办社会保险业务管理办法（</w:t>
      </w:r>
      <w:bookmarkStart w:id="0" w:name="_GoBack"/>
      <w:bookmarkEnd w:id="0"/>
      <w:r>
        <w:rPr>
          <w:rFonts w:hint="eastAsia" w:ascii="宋体" w:hAnsi="宋体" w:eastAsia="方正小标宋简体" w:cs="方正小标宋简体"/>
          <w:sz w:val="44"/>
          <w:szCs w:val="44"/>
          <w:lang w:val="en-US" w:eastAsia="zh-CN"/>
        </w:rPr>
        <w:t>试行</w:t>
      </w:r>
      <w:r>
        <w:rPr>
          <w:rFonts w:hint="eastAsia" w:ascii="宋体" w:hAnsi="宋体" w:eastAsia="方正小标宋简体" w:cs="方正小标宋简体"/>
          <w:sz w:val="44"/>
          <w:szCs w:val="44"/>
        </w:rPr>
        <w:t>）</w:t>
      </w:r>
    </w:p>
    <w:p w14:paraId="4A9DB75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52"/>
          <w:lang w:eastAsia="zh-CN"/>
        </w:rPr>
      </w:pPr>
      <w:r>
        <w:rPr>
          <w:rFonts w:hint="eastAsia" w:ascii="方正小标宋简体" w:hAnsi="方正小标宋简体" w:eastAsia="方正小标宋简体" w:cs="方正小标宋简体"/>
          <w:sz w:val="44"/>
          <w:szCs w:val="52"/>
          <w:lang w:eastAsia="zh-CN"/>
        </w:rPr>
        <w:t>（征求意见稿）</w:t>
      </w:r>
    </w:p>
    <w:p w14:paraId="2EDFE52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黑体" w:cs="黑体"/>
          <w:sz w:val="32"/>
          <w:szCs w:val="40"/>
        </w:rPr>
      </w:pPr>
    </w:p>
    <w:p w14:paraId="526EE6A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黑体" w:cs="黑体"/>
          <w:sz w:val="32"/>
          <w:szCs w:val="40"/>
        </w:rPr>
      </w:pPr>
      <w:r>
        <w:rPr>
          <w:rFonts w:hint="eastAsia" w:ascii="宋体" w:hAnsi="宋体" w:eastAsia="黑体" w:cs="黑体"/>
          <w:sz w:val="32"/>
          <w:szCs w:val="40"/>
        </w:rPr>
        <w:t xml:space="preserve">第一章 </w:t>
      </w:r>
      <w:r>
        <w:rPr>
          <w:rFonts w:hint="eastAsia" w:ascii="宋体" w:hAnsi="宋体" w:eastAsia="黑体" w:cs="黑体"/>
          <w:sz w:val="32"/>
          <w:szCs w:val="40"/>
          <w:lang w:val="en-US" w:eastAsia="zh-CN"/>
        </w:rPr>
        <w:t xml:space="preserve"> </w:t>
      </w:r>
      <w:r>
        <w:rPr>
          <w:rFonts w:hint="eastAsia" w:ascii="宋体" w:hAnsi="宋体" w:eastAsia="黑体" w:cs="黑体"/>
          <w:sz w:val="32"/>
          <w:szCs w:val="40"/>
        </w:rPr>
        <w:t>总则</w:t>
      </w:r>
    </w:p>
    <w:p w14:paraId="462380C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仿宋_GB2312" w:cs="仿宋_GB2312"/>
          <w:sz w:val="32"/>
          <w:szCs w:val="40"/>
        </w:rPr>
      </w:pPr>
      <w:r>
        <w:rPr>
          <w:rFonts w:hint="eastAsia" w:ascii="宋体" w:hAnsi="宋体" w:eastAsia="仿宋_GB2312" w:cs="仿宋_GB2312"/>
          <w:b/>
          <w:bCs/>
          <w:sz w:val="32"/>
          <w:szCs w:val="40"/>
        </w:rPr>
        <w:t>第一条</w:t>
      </w:r>
      <w:r>
        <w:rPr>
          <w:rFonts w:hint="eastAsia" w:ascii="宋体" w:hAnsi="宋体" w:eastAsia="仿宋_GB2312" w:cs="仿宋_GB2312"/>
          <w:sz w:val="32"/>
          <w:szCs w:val="40"/>
        </w:rPr>
        <w:t xml:space="preserve"> </w:t>
      </w:r>
      <w:r>
        <w:rPr>
          <w:rFonts w:hint="eastAsia" w:ascii="宋体" w:hAnsi="宋体" w:eastAsia="仿宋_GB2312" w:cs="仿宋_GB2312"/>
          <w:sz w:val="32"/>
          <w:szCs w:val="40"/>
          <w:lang w:val="en-US" w:eastAsia="zh-CN"/>
        </w:rPr>
        <w:t xml:space="preserve"> </w:t>
      </w:r>
      <w:r>
        <w:rPr>
          <w:rFonts w:hint="eastAsia" w:ascii="宋体" w:hAnsi="宋体" w:eastAsia="仿宋_GB2312" w:cs="仿宋_GB2312"/>
          <w:kern w:val="2"/>
          <w:sz w:val="32"/>
          <w:szCs w:val="32"/>
          <w:highlight w:val="none"/>
          <w:lang w:val="en-US" w:eastAsia="zh-CN" w:bidi="ar-SA"/>
        </w:rPr>
        <w:t>为深化我市“社银直通”社保服务模式改革成效，</w:t>
      </w:r>
      <w:r>
        <w:rPr>
          <w:rFonts w:hint="eastAsia" w:ascii="宋体" w:hAnsi="宋体" w:eastAsia="仿宋_GB2312" w:cs="仿宋_GB2312"/>
          <w:sz w:val="32"/>
          <w:szCs w:val="40"/>
          <w:lang w:eastAsia="zh-CN"/>
        </w:rPr>
        <w:t>指导</w:t>
      </w:r>
      <w:r>
        <w:rPr>
          <w:rFonts w:hint="eastAsia" w:ascii="宋体" w:hAnsi="宋体" w:eastAsia="仿宋_GB2312" w:cs="仿宋_GB2312"/>
          <w:sz w:val="32"/>
          <w:szCs w:val="40"/>
        </w:rPr>
        <w:t>社会保险经办机构与合作银行规范开展经办社会保险业务合作（</w:t>
      </w:r>
      <w:r>
        <w:rPr>
          <w:rFonts w:hint="eastAsia" w:ascii="宋体" w:hAnsi="宋体" w:eastAsia="仿宋_GB2312" w:cs="仿宋_GB2312"/>
          <w:sz w:val="32"/>
          <w:szCs w:val="40"/>
          <w:lang w:eastAsia="zh-CN"/>
        </w:rPr>
        <w:t>以下简称</w:t>
      </w:r>
      <w:r>
        <w:rPr>
          <w:rFonts w:hint="eastAsia" w:ascii="宋体" w:hAnsi="宋体" w:eastAsia="仿宋_GB2312" w:cs="仿宋_GB2312"/>
          <w:sz w:val="32"/>
          <w:szCs w:val="40"/>
        </w:rPr>
        <w:t>社银合作），按照《社会保险经办条例》</w:t>
      </w:r>
      <w:r>
        <w:rPr>
          <w:rFonts w:hint="eastAsia" w:ascii="宋体" w:hAnsi="宋体" w:eastAsia="仿宋_GB2312" w:cs="仿宋_GB2312"/>
          <w:sz w:val="32"/>
          <w:szCs w:val="40"/>
          <w:lang w:val="en-US" w:eastAsia="zh-CN"/>
        </w:rPr>
        <w:t>《人力资源和社会保障部办公厅关于借助银行、基层平台等力量推进人社服务“就近办”的意见》</w:t>
      </w:r>
      <w:r>
        <w:rPr>
          <w:rFonts w:hint="eastAsia" w:ascii="宋体" w:hAnsi="宋体" w:eastAsia="仿宋_GB2312" w:cs="仿宋_GB2312"/>
          <w:sz w:val="32"/>
          <w:szCs w:val="40"/>
        </w:rPr>
        <w:t>《合作机构经办社会保险业务规范》（</w:t>
      </w:r>
      <w:r>
        <w:rPr>
          <w:rFonts w:hint="default" w:ascii="宋体" w:hAnsi="宋体" w:eastAsia="仿宋_GB2312" w:cs="Times New Roman"/>
          <w:sz w:val="32"/>
          <w:szCs w:val="40"/>
        </w:rPr>
        <w:t>GBT 44857-2024</w:t>
      </w:r>
      <w:r>
        <w:rPr>
          <w:rFonts w:hint="eastAsia" w:ascii="宋体" w:hAnsi="宋体" w:eastAsia="仿宋_GB2312" w:cs="仿宋_GB2312"/>
          <w:sz w:val="32"/>
          <w:szCs w:val="40"/>
        </w:rPr>
        <w:t>）</w:t>
      </w:r>
      <w:r>
        <w:rPr>
          <w:rFonts w:hint="eastAsia" w:ascii="宋体" w:hAnsi="宋体" w:eastAsia="仿宋_GB2312" w:cs="仿宋_GB2312"/>
          <w:sz w:val="32"/>
          <w:szCs w:val="32"/>
          <w:lang w:eastAsia="zh-CN"/>
        </w:rPr>
        <w:t>《</w:t>
      </w:r>
      <w:r>
        <w:rPr>
          <w:rFonts w:hint="eastAsia" w:ascii="宋体" w:hAnsi="宋体" w:eastAsia="仿宋_GB2312" w:cs="仿宋_GB2312"/>
          <w:sz w:val="32"/>
          <w:szCs w:val="32"/>
          <w:lang w:val="en-US" w:eastAsia="zh-CN"/>
        </w:rPr>
        <w:t>江西省人力资源和社会保障厅关于借助银行力量推进人社服务“就近办”的通知</w:t>
      </w:r>
      <w:r>
        <w:rPr>
          <w:rFonts w:hint="eastAsia" w:ascii="宋体" w:hAnsi="宋体" w:eastAsia="仿宋_GB2312" w:cs="仿宋_GB2312"/>
          <w:sz w:val="32"/>
          <w:szCs w:val="32"/>
          <w:lang w:eastAsia="zh-CN"/>
        </w:rPr>
        <w:t>》</w:t>
      </w:r>
      <w:r>
        <w:rPr>
          <w:rFonts w:hint="eastAsia" w:ascii="宋体" w:hAnsi="宋体" w:eastAsia="仿宋_GB2312" w:cs="仿宋_GB2312"/>
          <w:sz w:val="32"/>
          <w:szCs w:val="40"/>
          <w:lang w:val="en-US" w:eastAsia="zh-CN"/>
        </w:rPr>
        <w:t>《赣州市深化社银合作开展社保业务“银行办”实施方案》</w:t>
      </w:r>
      <w:r>
        <w:rPr>
          <w:rFonts w:hint="eastAsia" w:ascii="宋体" w:hAnsi="宋体" w:eastAsia="仿宋_GB2312" w:cs="仿宋_GB2312"/>
          <w:sz w:val="32"/>
          <w:szCs w:val="40"/>
        </w:rPr>
        <w:t>等规定，制定本办法。</w:t>
      </w:r>
    </w:p>
    <w:p w14:paraId="7E98587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仿宋_GB2312" w:cs="仿宋_GB2312"/>
          <w:sz w:val="32"/>
          <w:szCs w:val="40"/>
        </w:rPr>
      </w:pPr>
      <w:r>
        <w:rPr>
          <w:rFonts w:hint="eastAsia" w:ascii="宋体" w:hAnsi="宋体" w:eastAsia="仿宋_GB2312" w:cs="仿宋_GB2312"/>
          <w:b/>
          <w:bCs/>
          <w:sz w:val="32"/>
          <w:szCs w:val="40"/>
        </w:rPr>
        <w:t>第二条</w:t>
      </w:r>
      <w:r>
        <w:rPr>
          <w:rFonts w:hint="eastAsia" w:ascii="宋体" w:hAnsi="宋体" w:eastAsia="仿宋_GB2312" w:cs="仿宋_GB2312"/>
          <w:b/>
          <w:bCs/>
          <w:sz w:val="32"/>
          <w:szCs w:val="40"/>
          <w:lang w:val="en-US" w:eastAsia="zh-CN"/>
        </w:rPr>
        <w:t xml:space="preserve"> </w:t>
      </w:r>
      <w:r>
        <w:rPr>
          <w:rFonts w:hint="eastAsia" w:ascii="宋体" w:hAnsi="宋体" w:eastAsia="仿宋_GB2312" w:cs="仿宋_GB2312"/>
          <w:sz w:val="32"/>
          <w:szCs w:val="40"/>
        </w:rPr>
        <w:t xml:space="preserve"> 本办法所指的合作银行，是</w:t>
      </w:r>
      <w:r>
        <w:rPr>
          <w:rFonts w:hint="eastAsia" w:ascii="宋体" w:hAnsi="宋体" w:eastAsia="仿宋_GB2312" w:cs="仿宋_GB2312"/>
          <w:sz w:val="32"/>
          <w:szCs w:val="40"/>
          <w:lang w:eastAsia="zh-CN"/>
        </w:rPr>
        <w:t>与</w:t>
      </w:r>
      <w:r>
        <w:rPr>
          <w:rFonts w:hint="eastAsia" w:ascii="宋体" w:hAnsi="宋体" w:eastAsia="仿宋_GB2312" w:cs="仿宋_GB2312"/>
          <w:sz w:val="32"/>
          <w:szCs w:val="40"/>
        </w:rPr>
        <w:t>社会保险经办机构</w:t>
      </w:r>
      <w:r>
        <w:rPr>
          <w:rFonts w:hint="eastAsia" w:ascii="宋体" w:hAnsi="宋体" w:eastAsia="仿宋_GB2312" w:cs="仿宋_GB2312"/>
          <w:sz w:val="32"/>
          <w:szCs w:val="40"/>
          <w:lang w:eastAsia="zh-CN"/>
        </w:rPr>
        <w:t>签订协议</w:t>
      </w:r>
      <w:r>
        <w:rPr>
          <w:rFonts w:hint="eastAsia" w:ascii="宋体" w:hAnsi="宋体" w:eastAsia="仿宋_GB2312" w:cs="仿宋_GB2312"/>
          <w:sz w:val="32"/>
          <w:szCs w:val="40"/>
        </w:rPr>
        <w:t>，经办社会保险业务的商业银行。本办法所指的合作网点，是合作银行具体经办社会保险业务的营业网点。</w:t>
      </w:r>
    </w:p>
    <w:p w14:paraId="5A42963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仿宋_GB2312" w:cs="仿宋_GB2312"/>
          <w:sz w:val="32"/>
          <w:szCs w:val="40"/>
        </w:rPr>
      </w:pPr>
      <w:r>
        <w:rPr>
          <w:rFonts w:hint="eastAsia" w:ascii="宋体" w:hAnsi="宋体" w:eastAsia="仿宋_GB2312" w:cs="仿宋_GB2312"/>
          <w:b/>
          <w:bCs/>
          <w:sz w:val="32"/>
          <w:szCs w:val="40"/>
        </w:rPr>
        <w:t>第</w:t>
      </w:r>
      <w:r>
        <w:rPr>
          <w:rFonts w:hint="eastAsia" w:ascii="宋体" w:hAnsi="宋体" w:eastAsia="仿宋_GB2312" w:cs="仿宋_GB2312"/>
          <w:b/>
          <w:bCs/>
          <w:sz w:val="32"/>
          <w:szCs w:val="40"/>
          <w:lang w:eastAsia="zh-CN"/>
        </w:rPr>
        <w:t>三</w:t>
      </w:r>
      <w:r>
        <w:rPr>
          <w:rFonts w:hint="eastAsia" w:ascii="宋体" w:hAnsi="宋体" w:eastAsia="仿宋_GB2312" w:cs="仿宋_GB2312"/>
          <w:b/>
          <w:bCs/>
          <w:sz w:val="32"/>
          <w:szCs w:val="40"/>
        </w:rPr>
        <w:t>条</w:t>
      </w:r>
      <w:r>
        <w:rPr>
          <w:rFonts w:hint="eastAsia" w:ascii="宋体" w:hAnsi="宋体" w:eastAsia="仿宋_GB2312" w:cs="仿宋_GB2312"/>
          <w:b/>
          <w:bCs/>
          <w:sz w:val="32"/>
          <w:szCs w:val="40"/>
          <w:lang w:val="en-US" w:eastAsia="zh-CN"/>
        </w:rPr>
        <w:t xml:space="preserve"> </w:t>
      </w:r>
      <w:r>
        <w:rPr>
          <w:rFonts w:hint="eastAsia" w:ascii="宋体" w:hAnsi="宋体" w:eastAsia="仿宋_GB2312" w:cs="仿宋_GB2312"/>
          <w:sz w:val="32"/>
          <w:szCs w:val="40"/>
        </w:rPr>
        <w:t xml:space="preserve"> 本办法所指的社会保险业务，是社会保险经办机构负责经办或委托经办的基本养老保险、工伤保险、社会保障卡等业务的统称。</w:t>
      </w:r>
    </w:p>
    <w:p w14:paraId="0BADD09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仿宋_GB2312"/>
          <w:sz w:val="32"/>
          <w:szCs w:val="40"/>
        </w:rPr>
      </w:pPr>
      <w:r>
        <w:rPr>
          <w:rFonts w:hint="eastAsia" w:ascii="宋体" w:hAnsi="宋体" w:eastAsia="仿宋_GB2312" w:cs="仿宋_GB2312"/>
          <w:sz w:val="32"/>
          <w:szCs w:val="40"/>
        </w:rPr>
        <w:t>本办法所称经办社保业务，主要指社保业务的受理、身份核验、材料影像化采集与上传、办理结果告知等前端服务环节。</w:t>
      </w:r>
    </w:p>
    <w:p w14:paraId="7E689CA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仿宋_GB2312" w:cs="仿宋_GB2312"/>
          <w:sz w:val="32"/>
          <w:szCs w:val="40"/>
        </w:rPr>
      </w:pPr>
      <w:r>
        <w:rPr>
          <w:rFonts w:hint="eastAsia" w:ascii="宋体" w:hAnsi="宋体" w:eastAsia="仿宋_GB2312" w:cs="仿宋_GB2312"/>
          <w:b/>
          <w:bCs/>
          <w:sz w:val="32"/>
          <w:szCs w:val="40"/>
        </w:rPr>
        <w:t>第四条</w:t>
      </w:r>
      <w:r>
        <w:rPr>
          <w:rFonts w:hint="eastAsia" w:ascii="宋体" w:hAnsi="宋体" w:eastAsia="仿宋_GB2312" w:cs="仿宋_GB2312"/>
          <w:sz w:val="32"/>
          <w:szCs w:val="40"/>
        </w:rPr>
        <w:t xml:space="preserve"> </w:t>
      </w:r>
      <w:r>
        <w:rPr>
          <w:rFonts w:hint="eastAsia" w:ascii="宋体" w:hAnsi="宋体" w:eastAsia="仿宋_GB2312" w:cs="仿宋_GB2312"/>
          <w:sz w:val="32"/>
          <w:szCs w:val="40"/>
          <w:lang w:val="en-US" w:eastAsia="zh-CN"/>
        </w:rPr>
        <w:t xml:space="preserve"> </w:t>
      </w:r>
      <w:r>
        <w:rPr>
          <w:rFonts w:hint="eastAsia" w:ascii="宋体" w:hAnsi="宋体" w:eastAsia="仿宋_GB2312" w:cs="仿宋_GB2312"/>
          <w:sz w:val="32"/>
          <w:szCs w:val="40"/>
        </w:rPr>
        <w:t>社银合作</w:t>
      </w:r>
      <w:r>
        <w:rPr>
          <w:rFonts w:hint="eastAsia" w:ascii="宋体" w:hAnsi="宋体" w:eastAsia="仿宋_GB2312" w:cs="仿宋_GB2312"/>
          <w:sz w:val="32"/>
          <w:szCs w:val="40"/>
          <w:lang w:eastAsia="zh-CN"/>
        </w:rPr>
        <w:t>双方</w:t>
      </w:r>
      <w:r>
        <w:rPr>
          <w:rFonts w:hint="eastAsia" w:ascii="宋体" w:hAnsi="宋体" w:eastAsia="仿宋_GB2312" w:cs="仿宋_GB2312"/>
          <w:sz w:val="32"/>
          <w:szCs w:val="40"/>
        </w:rPr>
        <w:t>应坚持以下原则：</w:t>
      </w:r>
    </w:p>
    <w:p w14:paraId="51F34CE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仿宋_GB2312"/>
          <w:sz w:val="32"/>
          <w:szCs w:val="40"/>
        </w:rPr>
      </w:pPr>
      <w:r>
        <w:rPr>
          <w:rFonts w:hint="eastAsia" w:ascii="宋体" w:hAnsi="宋体" w:eastAsia="仿宋_GB2312" w:cs="仿宋_GB2312"/>
          <w:sz w:val="32"/>
          <w:szCs w:val="40"/>
        </w:rPr>
        <w:t>（一）</w:t>
      </w:r>
      <w:r>
        <w:rPr>
          <w:rFonts w:hint="eastAsia" w:ascii="宋体" w:hAnsi="宋体" w:eastAsia="仿宋_GB2312" w:cs="仿宋_GB2312"/>
          <w:sz w:val="32"/>
          <w:szCs w:val="40"/>
          <w:lang w:eastAsia="zh-CN"/>
        </w:rPr>
        <w:t>严格遵守</w:t>
      </w:r>
      <w:r>
        <w:rPr>
          <w:rFonts w:hint="eastAsia" w:ascii="宋体" w:hAnsi="宋体" w:eastAsia="仿宋_GB2312" w:cs="仿宋_GB2312"/>
          <w:sz w:val="32"/>
          <w:szCs w:val="40"/>
        </w:rPr>
        <w:t>社会保险</w:t>
      </w:r>
      <w:r>
        <w:rPr>
          <w:rFonts w:hint="eastAsia" w:ascii="宋体" w:hAnsi="宋体" w:eastAsia="仿宋_GB2312" w:cs="仿宋_GB2312"/>
          <w:sz w:val="32"/>
          <w:szCs w:val="40"/>
          <w:lang w:eastAsia="zh-CN"/>
        </w:rPr>
        <w:t>相关</w:t>
      </w:r>
      <w:r>
        <w:rPr>
          <w:rFonts w:hint="eastAsia" w:ascii="宋体" w:hAnsi="宋体" w:eastAsia="仿宋_GB2312" w:cs="仿宋_GB2312"/>
          <w:sz w:val="32"/>
          <w:szCs w:val="40"/>
        </w:rPr>
        <w:t>法律法规、相关政策</w:t>
      </w:r>
      <w:r>
        <w:rPr>
          <w:rFonts w:hint="eastAsia" w:ascii="宋体" w:hAnsi="宋体" w:eastAsia="仿宋_GB2312" w:cs="仿宋_GB2312"/>
          <w:sz w:val="32"/>
          <w:szCs w:val="40"/>
          <w:lang w:eastAsia="zh-CN"/>
        </w:rPr>
        <w:t>、</w:t>
      </w:r>
      <w:r>
        <w:rPr>
          <w:rFonts w:hint="eastAsia" w:ascii="宋体" w:hAnsi="宋体" w:eastAsia="仿宋_GB2312" w:cs="仿宋_GB2312"/>
          <w:sz w:val="32"/>
          <w:szCs w:val="40"/>
        </w:rPr>
        <w:t>经办规程及相关安全要求，规范经办社保业务行为，</w:t>
      </w:r>
      <w:r>
        <w:rPr>
          <w:rFonts w:hint="eastAsia" w:ascii="宋体" w:hAnsi="宋体" w:eastAsia="仿宋_GB2312" w:cs="仿宋_GB2312"/>
          <w:sz w:val="32"/>
          <w:szCs w:val="40"/>
          <w:lang w:eastAsia="zh-CN"/>
        </w:rPr>
        <w:t>自觉</w:t>
      </w:r>
      <w:r>
        <w:rPr>
          <w:rFonts w:hint="eastAsia" w:ascii="宋体" w:hAnsi="宋体" w:eastAsia="仿宋_GB2312" w:cs="仿宋_GB2312"/>
          <w:sz w:val="32"/>
          <w:szCs w:val="40"/>
        </w:rPr>
        <w:t>维护社会公共利益和</w:t>
      </w:r>
      <w:r>
        <w:rPr>
          <w:rFonts w:hint="eastAsia" w:ascii="宋体" w:hAnsi="宋体" w:eastAsia="仿宋_GB2312" w:cs="仿宋_GB2312"/>
          <w:sz w:val="32"/>
          <w:szCs w:val="40"/>
          <w:lang w:eastAsia="zh-CN"/>
        </w:rPr>
        <w:t>服务对象</w:t>
      </w:r>
      <w:r>
        <w:rPr>
          <w:rFonts w:hint="eastAsia" w:ascii="宋体" w:hAnsi="宋体" w:eastAsia="仿宋_GB2312" w:cs="仿宋_GB2312"/>
          <w:sz w:val="32"/>
          <w:szCs w:val="40"/>
        </w:rPr>
        <w:t>合法权益。</w:t>
      </w:r>
    </w:p>
    <w:p w14:paraId="07E1675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仿宋_GB2312"/>
          <w:sz w:val="32"/>
          <w:szCs w:val="40"/>
        </w:rPr>
      </w:pPr>
      <w:r>
        <w:rPr>
          <w:rFonts w:hint="eastAsia" w:ascii="宋体" w:hAnsi="宋体" w:eastAsia="仿宋_GB2312" w:cs="仿宋_GB2312"/>
          <w:sz w:val="32"/>
          <w:szCs w:val="40"/>
        </w:rPr>
        <w:t>（二）本着平等、自愿、公平、诚信原则，经友好协商一致开展合作</w:t>
      </w:r>
      <w:r>
        <w:rPr>
          <w:rFonts w:hint="eastAsia" w:ascii="宋体" w:hAnsi="宋体" w:eastAsia="仿宋_GB2312" w:cs="仿宋_GB2312"/>
          <w:sz w:val="32"/>
          <w:szCs w:val="40"/>
          <w:lang w:eastAsia="zh-CN"/>
        </w:rPr>
        <w:t>，</w:t>
      </w:r>
      <w:r>
        <w:rPr>
          <w:rFonts w:hint="eastAsia" w:ascii="宋体" w:hAnsi="宋体" w:eastAsia="仿宋_GB2312" w:cs="仿宋_GB2312"/>
          <w:sz w:val="32"/>
          <w:szCs w:val="40"/>
        </w:rPr>
        <w:t>严格履行合作协议义务。</w:t>
      </w:r>
    </w:p>
    <w:p w14:paraId="6815412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仿宋_GB2312"/>
          <w:sz w:val="32"/>
          <w:szCs w:val="40"/>
        </w:rPr>
      </w:pPr>
      <w:r>
        <w:rPr>
          <w:rFonts w:hint="eastAsia" w:ascii="宋体" w:hAnsi="宋体" w:eastAsia="仿宋_GB2312" w:cs="仿宋_GB2312"/>
          <w:sz w:val="32"/>
          <w:szCs w:val="40"/>
        </w:rPr>
        <w:t>（三）从便民利企角度合理</w:t>
      </w:r>
      <w:r>
        <w:rPr>
          <w:rFonts w:hint="eastAsia" w:ascii="宋体" w:hAnsi="宋体" w:eastAsia="仿宋_GB2312" w:cs="仿宋_GB2312"/>
          <w:sz w:val="32"/>
          <w:szCs w:val="40"/>
          <w:lang w:eastAsia="zh-CN"/>
        </w:rPr>
        <w:t>设置经办网点</w:t>
      </w:r>
      <w:r>
        <w:rPr>
          <w:rFonts w:hint="eastAsia" w:ascii="宋体" w:hAnsi="宋体" w:eastAsia="仿宋_GB2312" w:cs="仿宋_GB2312"/>
          <w:sz w:val="32"/>
          <w:szCs w:val="40"/>
        </w:rPr>
        <w:t>，积极推进经办事项</w:t>
      </w:r>
      <w:r>
        <w:rPr>
          <w:rFonts w:hint="eastAsia" w:ascii="宋体" w:hAnsi="宋体" w:eastAsia="仿宋_GB2312" w:cs="仿宋_GB2312"/>
          <w:sz w:val="32"/>
          <w:szCs w:val="40"/>
          <w:lang w:eastAsia="zh-CN"/>
        </w:rPr>
        <w:t>拓展</w:t>
      </w:r>
      <w:r>
        <w:rPr>
          <w:rFonts w:hint="eastAsia" w:ascii="宋体" w:hAnsi="宋体" w:eastAsia="仿宋_GB2312" w:cs="仿宋_GB2312"/>
          <w:sz w:val="32"/>
          <w:szCs w:val="40"/>
        </w:rPr>
        <w:t>延伸，共同建立健全社会保险公共服务体系。</w:t>
      </w:r>
    </w:p>
    <w:p w14:paraId="3109C53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仿宋_GB2312" w:cs="仿宋_GB2312"/>
          <w:sz w:val="32"/>
          <w:szCs w:val="40"/>
        </w:rPr>
      </w:pPr>
      <w:r>
        <w:rPr>
          <w:rFonts w:hint="eastAsia" w:ascii="宋体" w:hAnsi="宋体" w:eastAsia="仿宋_GB2312" w:cs="仿宋_GB2312"/>
          <w:b/>
          <w:bCs/>
          <w:sz w:val="32"/>
          <w:szCs w:val="40"/>
        </w:rPr>
        <w:t>第五条</w:t>
      </w:r>
      <w:r>
        <w:rPr>
          <w:rFonts w:hint="eastAsia" w:ascii="宋体" w:hAnsi="宋体" w:eastAsia="仿宋_GB2312" w:cs="仿宋_GB2312"/>
          <w:sz w:val="32"/>
          <w:szCs w:val="40"/>
        </w:rPr>
        <w:t xml:space="preserve"> </w:t>
      </w:r>
      <w:r>
        <w:rPr>
          <w:rFonts w:hint="eastAsia" w:ascii="宋体" w:hAnsi="宋体" w:eastAsia="仿宋_GB2312" w:cs="仿宋_GB2312"/>
          <w:sz w:val="32"/>
          <w:szCs w:val="40"/>
          <w:lang w:val="en-US" w:eastAsia="zh-CN"/>
        </w:rPr>
        <w:t xml:space="preserve"> </w:t>
      </w:r>
      <w:r>
        <w:rPr>
          <w:rFonts w:hint="eastAsia" w:ascii="宋体" w:hAnsi="宋体" w:eastAsia="仿宋_GB2312" w:cs="仿宋_GB2312"/>
          <w:sz w:val="32"/>
          <w:szCs w:val="40"/>
        </w:rPr>
        <w:t>本办法适用于</w:t>
      </w:r>
      <w:r>
        <w:rPr>
          <w:rFonts w:hint="eastAsia" w:ascii="宋体" w:hAnsi="宋体" w:eastAsia="仿宋_GB2312" w:cs="仿宋_GB2312"/>
          <w:sz w:val="32"/>
          <w:szCs w:val="40"/>
          <w:lang w:eastAsia="zh-CN"/>
        </w:rPr>
        <w:t>赣州市社会保险服务中心（以下简称市社保中心）及县级社会保险经办机构</w:t>
      </w:r>
      <w:r>
        <w:rPr>
          <w:rFonts w:hint="eastAsia" w:ascii="宋体" w:hAnsi="宋体" w:eastAsia="仿宋_GB2312" w:cs="仿宋_GB2312"/>
          <w:sz w:val="32"/>
          <w:szCs w:val="40"/>
        </w:rPr>
        <w:t>与银行开展合作的申请与管理等事项。本办法实施前已开展社银合作，已签协议有约定的按协议继续履行至合作期满，已签协议未约定的按本办法执行。</w:t>
      </w:r>
    </w:p>
    <w:p w14:paraId="4AF70F3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仿宋_GB2312" w:cs="仿宋_GB2312"/>
          <w:sz w:val="32"/>
          <w:szCs w:val="40"/>
        </w:rPr>
      </w:pPr>
      <w:r>
        <w:rPr>
          <w:rFonts w:hint="eastAsia" w:ascii="宋体" w:hAnsi="宋体" w:eastAsia="仿宋_GB2312" w:cs="仿宋_GB2312"/>
          <w:b/>
          <w:bCs/>
          <w:sz w:val="32"/>
          <w:szCs w:val="40"/>
        </w:rPr>
        <w:t>第六条</w:t>
      </w:r>
      <w:r>
        <w:rPr>
          <w:rFonts w:hint="eastAsia" w:ascii="宋体" w:hAnsi="宋体" w:eastAsia="仿宋_GB2312" w:cs="仿宋_GB2312"/>
          <w:sz w:val="32"/>
          <w:szCs w:val="40"/>
        </w:rPr>
        <w:t xml:space="preserve"> </w:t>
      </w:r>
      <w:r>
        <w:rPr>
          <w:rFonts w:hint="eastAsia" w:ascii="宋体" w:hAnsi="宋体" w:eastAsia="仿宋_GB2312" w:cs="仿宋_GB2312"/>
          <w:sz w:val="32"/>
          <w:szCs w:val="40"/>
          <w:lang w:val="en-US" w:eastAsia="zh-CN"/>
        </w:rPr>
        <w:t xml:space="preserve"> </w:t>
      </w:r>
      <w:r>
        <w:rPr>
          <w:rFonts w:hint="eastAsia" w:ascii="宋体" w:hAnsi="宋体" w:eastAsia="仿宋_GB2312" w:cs="仿宋_GB2312"/>
          <w:sz w:val="32"/>
          <w:szCs w:val="40"/>
        </w:rPr>
        <w:t>合作银行通过使用</w:t>
      </w:r>
      <w:r>
        <w:rPr>
          <w:rFonts w:hint="eastAsia" w:ascii="宋体" w:hAnsi="宋体" w:eastAsia="仿宋_GB2312" w:cs="仿宋_GB2312"/>
          <w:color w:val="auto"/>
          <w:sz w:val="32"/>
          <w:szCs w:val="40"/>
        </w:rPr>
        <w:t>江西人社一体化综合信息系统</w:t>
      </w:r>
      <w:r>
        <w:rPr>
          <w:rFonts w:hint="eastAsia" w:ascii="宋体" w:hAnsi="宋体" w:eastAsia="仿宋_GB2312" w:cs="仿宋_GB2312"/>
          <w:color w:val="auto"/>
          <w:sz w:val="32"/>
          <w:szCs w:val="40"/>
          <w:lang w:eastAsia="zh-CN"/>
        </w:rPr>
        <w:t>（社银合作收件系统）</w:t>
      </w:r>
      <w:r>
        <w:rPr>
          <w:rFonts w:hint="eastAsia" w:ascii="宋体" w:hAnsi="宋体" w:eastAsia="仿宋_GB2312" w:cs="仿宋_GB2312"/>
          <w:sz w:val="32"/>
          <w:szCs w:val="40"/>
        </w:rPr>
        <w:t>，按权限和社保业务经办时限及时准确经办社保业务，并实现业务数据的实时传输和全程留痕管理。</w:t>
      </w:r>
    </w:p>
    <w:p w14:paraId="11A7337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黑体" w:cs="黑体"/>
          <w:sz w:val="32"/>
          <w:szCs w:val="40"/>
        </w:rPr>
      </w:pPr>
    </w:p>
    <w:p w14:paraId="2C29328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仿宋_GB2312" w:cs="仿宋_GB2312"/>
          <w:sz w:val="32"/>
          <w:szCs w:val="40"/>
        </w:rPr>
      </w:pPr>
      <w:r>
        <w:rPr>
          <w:rFonts w:hint="eastAsia" w:ascii="宋体" w:hAnsi="宋体" w:eastAsia="黑体" w:cs="黑体"/>
          <w:sz w:val="32"/>
          <w:szCs w:val="40"/>
        </w:rPr>
        <w:t xml:space="preserve">第二章 </w:t>
      </w:r>
      <w:r>
        <w:rPr>
          <w:rFonts w:hint="eastAsia" w:ascii="宋体" w:hAnsi="宋体" w:eastAsia="黑体" w:cs="黑体"/>
          <w:sz w:val="32"/>
          <w:szCs w:val="40"/>
          <w:lang w:val="en-US" w:eastAsia="zh-CN"/>
        </w:rPr>
        <w:t xml:space="preserve"> </w:t>
      </w:r>
      <w:r>
        <w:rPr>
          <w:rFonts w:hint="eastAsia" w:ascii="宋体" w:hAnsi="宋体" w:eastAsia="黑体" w:cs="黑体"/>
          <w:sz w:val="32"/>
          <w:szCs w:val="40"/>
        </w:rPr>
        <w:t>合作条件</w:t>
      </w:r>
    </w:p>
    <w:p w14:paraId="2B94FCB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仿宋_GB2312" w:cs="仿宋_GB2312"/>
          <w:color w:val="auto"/>
          <w:sz w:val="32"/>
          <w:szCs w:val="40"/>
          <w:lang w:eastAsia="zh-CN"/>
        </w:rPr>
      </w:pPr>
      <w:r>
        <w:rPr>
          <w:rFonts w:hint="eastAsia" w:ascii="宋体" w:hAnsi="宋体" w:eastAsia="仿宋_GB2312" w:cs="仿宋_GB2312"/>
          <w:b/>
          <w:bCs/>
          <w:sz w:val="32"/>
          <w:szCs w:val="40"/>
        </w:rPr>
        <w:t>第七条</w:t>
      </w:r>
      <w:r>
        <w:rPr>
          <w:rFonts w:hint="eastAsia" w:ascii="宋体" w:hAnsi="宋体" w:eastAsia="仿宋_GB2312" w:cs="仿宋_GB2312"/>
          <w:color w:val="auto"/>
          <w:sz w:val="32"/>
          <w:szCs w:val="40"/>
        </w:rPr>
        <w:t xml:space="preserve"> </w:t>
      </w:r>
      <w:r>
        <w:rPr>
          <w:rFonts w:hint="eastAsia" w:ascii="宋体" w:hAnsi="宋体" w:eastAsia="仿宋_GB2312" w:cs="仿宋_GB2312"/>
          <w:color w:val="auto"/>
          <w:sz w:val="32"/>
          <w:szCs w:val="40"/>
          <w:lang w:val="en-US" w:eastAsia="zh-CN"/>
        </w:rPr>
        <w:t xml:space="preserve"> </w:t>
      </w:r>
      <w:r>
        <w:rPr>
          <w:rFonts w:hint="eastAsia" w:ascii="宋体" w:hAnsi="宋体" w:eastAsia="仿宋_GB2312" w:cs="仿宋_GB2312"/>
          <w:color w:val="auto"/>
          <w:sz w:val="32"/>
          <w:szCs w:val="40"/>
        </w:rPr>
        <w:t>合作银行</w:t>
      </w:r>
      <w:r>
        <w:rPr>
          <w:rFonts w:hint="eastAsia" w:ascii="宋体" w:hAnsi="宋体" w:eastAsia="仿宋_GB2312" w:cs="仿宋_GB2312"/>
          <w:color w:val="auto"/>
          <w:sz w:val="32"/>
          <w:szCs w:val="40"/>
          <w:lang w:eastAsia="zh-CN"/>
        </w:rPr>
        <w:t>应具备以下基础条件：</w:t>
      </w:r>
    </w:p>
    <w:p w14:paraId="06B5FFA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仿宋_GB2312"/>
          <w:color w:val="auto"/>
          <w:sz w:val="32"/>
          <w:szCs w:val="40"/>
        </w:rPr>
      </w:pPr>
      <w:r>
        <w:rPr>
          <w:rFonts w:hint="eastAsia" w:ascii="宋体" w:hAnsi="宋体" w:eastAsia="仿宋_GB2312" w:cs="仿宋_GB2312"/>
          <w:color w:val="auto"/>
          <w:sz w:val="32"/>
          <w:szCs w:val="40"/>
        </w:rPr>
        <w:t>（一）注册</w:t>
      </w:r>
      <w:r>
        <w:rPr>
          <w:rFonts w:hint="eastAsia" w:ascii="宋体" w:hAnsi="宋体" w:eastAsia="仿宋_GB2312" w:cs="仿宋_GB2312"/>
          <w:color w:val="auto"/>
          <w:sz w:val="32"/>
          <w:szCs w:val="40"/>
          <w:lang w:eastAsia="zh-CN"/>
        </w:rPr>
        <w:t>地位</w:t>
      </w:r>
      <w:r>
        <w:rPr>
          <w:rFonts w:hint="eastAsia" w:ascii="宋体" w:hAnsi="宋体" w:eastAsia="仿宋_GB2312" w:cs="仿宋_GB2312"/>
          <w:color w:val="auto"/>
          <w:sz w:val="32"/>
          <w:szCs w:val="40"/>
        </w:rPr>
        <w:t>于中华人民共和国境内，经</w:t>
      </w:r>
      <w:r>
        <w:rPr>
          <w:rFonts w:hint="eastAsia" w:ascii="宋体" w:hAnsi="宋体" w:eastAsia="仿宋_GB2312" w:cs="仿宋_GB2312"/>
          <w:color w:val="auto"/>
          <w:sz w:val="32"/>
          <w:szCs w:val="40"/>
          <w:lang w:eastAsia="zh-CN"/>
        </w:rPr>
        <w:t>金融监管部门依法批准设立、持有合法金融业务经营资格的银行业金融机构</w:t>
      </w:r>
      <w:r>
        <w:rPr>
          <w:rFonts w:hint="eastAsia" w:ascii="宋体" w:hAnsi="宋体" w:eastAsia="仿宋_GB2312" w:cs="仿宋_GB2312"/>
          <w:color w:val="auto"/>
          <w:sz w:val="32"/>
          <w:szCs w:val="40"/>
        </w:rPr>
        <w:t>;</w:t>
      </w:r>
    </w:p>
    <w:p w14:paraId="3135BDD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仿宋_GB2312"/>
          <w:color w:val="auto"/>
          <w:sz w:val="32"/>
          <w:szCs w:val="40"/>
        </w:rPr>
      </w:pPr>
      <w:r>
        <w:rPr>
          <w:rFonts w:hint="eastAsia" w:ascii="宋体" w:hAnsi="宋体" w:eastAsia="仿宋_GB2312" w:cs="仿宋_GB2312"/>
          <w:color w:val="auto"/>
          <w:sz w:val="32"/>
          <w:szCs w:val="40"/>
        </w:rPr>
        <w:t>（二）持有合法有效的《营业执照》和国家金融监督管理总局或其分支机构核发的合法有效《金融许可证》；</w:t>
      </w:r>
    </w:p>
    <w:p w14:paraId="799781D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仿宋_GB2312"/>
          <w:color w:val="auto"/>
          <w:sz w:val="32"/>
          <w:szCs w:val="40"/>
        </w:rPr>
      </w:pPr>
      <w:r>
        <w:rPr>
          <w:rFonts w:hint="eastAsia" w:ascii="宋体" w:hAnsi="宋体" w:eastAsia="仿宋_GB2312" w:cs="仿宋_GB2312"/>
          <w:color w:val="auto"/>
          <w:sz w:val="32"/>
          <w:szCs w:val="40"/>
        </w:rPr>
        <w:t>（三）未被“信用中国”网站(</w:t>
      </w:r>
      <w:r>
        <w:rPr>
          <w:rFonts w:hint="eastAsia" w:ascii="宋体" w:hAnsi="宋体" w:eastAsia="宋体" w:cs="宋体"/>
          <w:color w:val="auto"/>
          <w:sz w:val="32"/>
          <w:szCs w:val="40"/>
        </w:rPr>
        <w:t>www.creditchina.gov.cn</w:t>
      </w:r>
      <w:r>
        <w:rPr>
          <w:rFonts w:hint="eastAsia" w:ascii="宋体" w:hAnsi="宋体" w:eastAsia="仿宋_GB2312" w:cs="仿宋_GB2312"/>
          <w:color w:val="auto"/>
          <w:sz w:val="32"/>
          <w:szCs w:val="40"/>
        </w:rPr>
        <w:t>)列入失信被执行人名单、重大税收违法失信主体名单、最高人民法院公布的全国法院失信被执行人名单;</w:t>
      </w:r>
    </w:p>
    <w:p w14:paraId="4238BE6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（四）江西省社会保障卡一卡通合作银行</w:t>
      </w:r>
      <w:r>
        <w:rPr>
          <w:rFonts w:hint="eastAsia" w:ascii="宋体" w:hAnsi="宋体" w:eastAsia="仿宋_GB2312" w:cs="仿宋_GB2312"/>
          <w:color w:val="auto"/>
          <w:sz w:val="32"/>
          <w:szCs w:val="32"/>
          <w:lang w:val="en-US" w:eastAsia="zh-CN"/>
        </w:rPr>
        <w:t>或服务网点</w:t>
      </w:r>
      <w:r>
        <w:rPr>
          <w:rFonts w:hint="eastAsia" w:ascii="宋体" w:hAnsi="宋体" w:eastAsia="仿宋_GB2312" w:cs="仿宋_GB2312"/>
          <w:sz w:val="32"/>
          <w:szCs w:val="32"/>
          <w:lang w:val="en-US" w:eastAsia="zh-CN"/>
        </w:rPr>
        <w:t>；</w:t>
      </w:r>
    </w:p>
    <w:p w14:paraId="72ED268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仿宋_GB2312" w:cs="仿宋_GB2312"/>
          <w:color w:val="auto"/>
          <w:sz w:val="32"/>
          <w:szCs w:val="40"/>
          <w:lang w:eastAsia="zh-CN"/>
        </w:rPr>
      </w:pPr>
      <w:r>
        <w:rPr>
          <w:rFonts w:hint="eastAsia" w:ascii="宋体" w:hAnsi="宋体" w:eastAsia="仿宋_GB2312" w:cs="仿宋_GB2312"/>
          <w:b/>
          <w:bCs/>
          <w:sz w:val="32"/>
          <w:szCs w:val="40"/>
          <w:lang w:eastAsia="zh-CN"/>
        </w:rPr>
        <w:t>第八条</w:t>
      </w:r>
      <w:r>
        <w:rPr>
          <w:rFonts w:hint="eastAsia" w:ascii="宋体" w:hAnsi="宋体" w:eastAsia="仿宋_GB2312" w:cs="仿宋_GB2312"/>
          <w:b/>
          <w:bCs/>
          <w:sz w:val="32"/>
          <w:szCs w:val="40"/>
          <w:lang w:val="en-US" w:eastAsia="zh-CN"/>
        </w:rPr>
        <w:t xml:space="preserve"> </w:t>
      </w:r>
      <w:r>
        <w:rPr>
          <w:rFonts w:hint="eastAsia" w:ascii="宋体" w:hAnsi="宋体" w:eastAsia="仿宋_GB2312" w:cs="仿宋_GB2312"/>
          <w:color w:val="auto"/>
          <w:sz w:val="32"/>
          <w:szCs w:val="40"/>
          <w:lang w:val="en-US" w:eastAsia="zh-CN"/>
        </w:rPr>
        <w:t xml:space="preserve"> 合作银行应能</w:t>
      </w:r>
      <w:r>
        <w:rPr>
          <w:rFonts w:hint="eastAsia" w:ascii="宋体" w:hAnsi="宋体" w:eastAsia="仿宋_GB2312" w:cs="仿宋_GB2312"/>
          <w:color w:val="auto"/>
          <w:sz w:val="32"/>
          <w:szCs w:val="40"/>
          <w:lang w:eastAsia="zh-CN"/>
        </w:rPr>
        <w:t>配置</w:t>
      </w:r>
      <w:r>
        <w:rPr>
          <w:rFonts w:hint="eastAsia" w:ascii="宋体" w:hAnsi="宋体" w:eastAsia="仿宋_GB2312" w:cs="仿宋_GB2312"/>
          <w:color w:val="auto"/>
          <w:sz w:val="32"/>
          <w:szCs w:val="40"/>
        </w:rPr>
        <w:t>满足经办社保业务需要的</w:t>
      </w:r>
      <w:r>
        <w:rPr>
          <w:rFonts w:hint="eastAsia" w:ascii="宋体" w:hAnsi="宋体" w:eastAsia="仿宋_GB2312" w:cs="仿宋_GB2312"/>
          <w:color w:val="auto"/>
          <w:sz w:val="32"/>
          <w:szCs w:val="40"/>
          <w:lang w:eastAsia="zh-CN"/>
        </w:rPr>
        <w:t>设备设施，包括</w:t>
      </w:r>
      <w:r>
        <w:rPr>
          <w:rFonts w:hint="eastAsia" w:ascii="宋体" w:hAnsi="宋体" w:eastAsia="仿宋_GB2312" w:cs="仿宋_GB2312"/>
          <w:color w:val="auto"/>
          <w:sz w:val="32"/>
          <w:szCs w:val="40"/>
        </w:rPr>
        <w:t>计算机、高拍仪或扫描仪、打印机</w:t>
      </w:r>
      <w:r>
        <w:rPr>
          <w:rFonts w:hint="eastAsia" w:ascii="宋体" w:hAnsi="宋体" w:eastAsia="仿宋_GB2312" w:cs="仿宋_GB2312"/>
          <w:color w:val="auto"/>
          <w:sz w:val="32"/>
          <w:szCs w:val="40"/>
          <w:lang w:eastAsia="zh-CN"/>
        </w:rPr>
        <w:t>、自助服务终端</w:t>
      </w:r>
      <w:r>
        <w:rPr>
          <w:rFonts w:hint="eastAsia" w:ascii="宋体" w:hAnsi="宋体" w:eastAsia="仿宋_GB2312" w:cs="仿宋_GB2312"/>
          <w:color w:val="auto"/>
          <w:sz w:val="32"/>
          <w:szCs w:val="40"/>
        </w:rPr>
        <w:t>等</w:t>
      </w:r>
      <w:r>
        <w:rPr>
          <w:rFonts w:hint="eastAsia" w:ascii="宋体" w:hAnsi="宋体" w:eastAsia="仿宋_GB2312" w:cs="仿宋_GB2312"/>
          <w:color w:val="auto"/>
          <w:sz w:val="32"/>
          <w:szCs w:val="40"/>
          <w:lang w:eastAsia="zh-CN"/>
        </w:rPr>
        <w:t>硬件设备</w:t>
      </w:r>
      <w:r>
        <w:rPr>
          <w:rFonts w:hint="eastAsia" w:ascii="宋体" w:hAnsi="宋体" w:eastAsia="仿宋_GB2312" w:cs="仿宋_GB2312"/>
          <w:color w:val="auto"/>
          <w:sz w:val="32"/>
          <w:szCs w:val="40"/>
          <w:lang w:val="en-US" w:eastAsia="zh-CN"/>
        </w:rPr>
        <w:t>以及连接业务系统的软件环境和网络</w:t>
      </w:r>
      <w:r>
        <w:rPr>
          <w:rFonts w:hint="eastAsia" w:ascii="宋体" w:hAnsi="宋体" w:eastAsia="仿宋_GB2312" w:cs="仿宋_GB2312"/>
          <w:color w:val="auto"/>
          <w:sz w:val="32"/>
          <w:szCs w:val="40"/>
          <w:lang w:eastAsia="zh-CN"/>
        </w:rPr>
        <w:t>。</w:t>
      </w:r>
    </w:p>
    <w:p w14:paraId="4C57C2A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宋体" w:hAnsi="宋体" w:eastAsia="仿宋_GB2312" w:cs="仿宋_GB2312"/>
          <w:sz w:val="32"/>
          <w:szCs w:val="32"/>
          <w:lang w:val="en-US" w:eastAsia="zh-CN"/>
        </w:rPr>
      </w:pPr>
      <w:r>
        <w:rPr>
          <w:rFonts w:hint="eastAsia" w:ascii="宋体" w:hAnsi="宋体" w:eastAsia="仿宋_GB2312" w:cs="仿宋_GB2312"/>
          <w:b/>
          <w:bCs/>
          <w:sz w:val="32"/>
          <w:szCs w:val="40"/>
          <w:lang w:eastAsia="zh-CN"/>
        </w:rPr>
        <w:t>第九条</w:t>
      </w:r>
      <w:r>
        <w:rPr>
          <w:rFonts w:hint="eastAsia" w:ascii="宋体" w:hAnsi="宋体" w:eastAsia="仿宋_GB2312" w:cs="仿宋_GB2312"/>
          <w:color w:val="FF0000"/>
          <w:sz w:val="32"/>
          <w:szCs w:val="40"/>
          <w:lang w:val="en-US" w:eastAsia="zh-CN"/>
        </w:rPr>
        <w:t xml:space="preserve">  </w:t>
      </w:r>
      <w:r>
        <w:rPr>
          <w:rFonts w:hint="eastAsia" w:ascii="宋体" w:hAnsi="宋体" w:eastAsia="仿宋_GB2312" w:cs="仿宋_GB2312"/>
          <w:color w:val="000000" w:themeColor="text1"/>
          <w:sz w:val="32"/>
          <w:szCs w:val="32"/>
          <w:lang w:val="en-US" w:eastAsia="zh-CN"/>
          <w14:textFill>
            <w14:solidFill>
              <w14:schemeClr w14:val="tx1"/>
            </w14:solidFill>
          </w14:textFill>
        </w:rPr>
        <w:t>合作银行网点应具有承接社会保险经办业务事项的窗口、自助办理（查询）等服务的条件。有条件的可拓展帮办代办、上门服务。</w:t>
      </w:r>
    </w:p>
    <w:p w14:paraId="2C015DF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宋体" w:hAnsi="宋体" w:eastAsia="黑体" w:cs="黑体"/>
          <w:sz w:val="32"/>
          <w:szCs w:val="32"/>
        </w:rPr>
      </w:pPr>
    </w:p>
    <w:p w14:paraId="33C2FFA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宋体" w:hAnsi="宋体" w:eastAsia="黑体" w:cs="黑体"/>
          <w:sz w:val="32"/>
          <w:szCs w:val="32"/>
        </w:rPr>
      </w:pPr>
      <w:r>
        <w:rPr>
          <w:rFonts w:hint="eastAsia" w:ascii="宋体" w:hAnsi="宋体" w:eastAsia="黑体" w:cs="黑体"/>
          <w:sz w:val="32"/>
          <w:szCs w:val="32"/>
        </w:rPr>
        <w:t xml:space="preserve">第三章 </w:t>
      </w:r>
      <w:r>
        <w:rPr>
          <w:rFonts w:hint="eastAsia" w:ascii="宋体" w:hAnsi="宋体" w:eastAsia="黑体" w:cs="黑体"/>
          <w:sz w:val="32"/>
          <w:szCs w:val="32"/>
          <w:lang w:val="en-US" w:eastAsia="zh-CN"/>
        </w:rPr>
        <w:t xml:space="preserve"> </w:t>
      </w:r>
      <w:r>
        <w:rPr>
          <w:rFonts w:hint="eastAsia" w:ascii="宋体" w:hAnsi="宋体" w:eastAsia="黑体" w:cs="黑体"/>
          <w:sz w:val="32"/>
          <w:szCs w:val="32"/>
        </w:rPr>
        <w:t>合作程序</w:t>
      </w:r>
    </w:p>
    <w:p w14:paraId="3F7FD17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仿宋_GB2312" w:cs="仿宋_GB2312"/>
          <w:color w:val="000000" w:themeColor="text1"/>
          <w:sz w:val="32"/>
          <w:szCs w:val="32"/>
          <w14:textFill>
            <w14:solidFill>
              <w14:schemeClr w14:val="tx1"/>
            </w14:solidFill>
          </w14:textFill>
        </w:rPr>
      </w:pPr>
      <w:r>
        <w:rPr>
          <w:rFonts w:hint="eastAsia" w:ascii="宋体" w:hAnsi="宋体" w:eastAsia="仿宋_GB2312" w:cs="仿宋_GB2312"/>
          <w:b/>
          <w:bCs/>
          <w:sz w:val="32"/>
          <w:szCs w:val="40"/>
        </w:rPr>
        <w:t>第</w:t>
      </w:r>
      <w:r>
        <w:rPr>
          <w:rFonts w:hint="eastAsia" w:ascii="宋体" w:hAnsi="宋体" w:eastAsia="仿宋_GB2312" w:cs="仿宋_GB2312"/>
          <w:b/>
          <w:bCs/>
          <w:sz w:val="32"/>
          <w:szCs w:val="40"/>
          <w:lang w:eastAsia="zh-CN"/>
        </w:rPr>
        <w:t>十</w:t>
      </w:r>
      <w:r>
        <w:rPr>
          <w:rFonts w:hint="eastAsia" w:ascii="宋体" w:hAnsi="宋体" w:eastAsia="仿宋_GB2312" w:cs="仿宋_GB2312"/>
          <w:b/>
          <w:bCs/>
          <w:sz w:val="32"/>
          <w:szCs w:val="40"/>
        </w:rPr>
        <w:t>条</w:t>
      </w:r>
      <w:r>
        <w:rPr>
          <w:rFonts w:hint="eastAsia" w:ascii="宋体" w:hAnsi="宋体" w:eastAsia="仿宋_GB2312" w:cs="仿宋_GB2312"/>
          <w:b/>
          <w:bCs/>
          <w:sz w:val="32"/>
          <w:szCs w:val="40"/>
          <w:lang w:val="en-US" w:eastAsia="zh-CN"/>
        </w:rPr>
        <w:t xml:space="preserve"> </w:t>
      </w:r>
      <w:r>
        <w:rPr>
          <w:rFonts w:hint="eastAsia" w:ascii="宋体" w:hAnsi="宋体" w:eastAsia="仿宋_GB2312" w:cs="仿宋_GB2312"/>
          <w:color w:val="FF0000"/>
          <w:sz w:val="32"/>
          <w:szCs w:val="32"/>
        </w:rPr>
        <w:t xml:space="preserve"> </w:t>
      </w:r>
      <w:r>
        <w:rPr>
          <w:rFonts w:hint="eastAsia" w:ascii="宋体" w:hAnsi="宋体" w:eastAsia="仿宋_GB2312" w:cs="仿宋_GB2312"/>
          <w:color w:val="000000" w:themeColor="text1"/>
          <w:sz w:val="32"/>
          <w:szCs w:val="32"/>
          <w14:textFill>
            <w14:solidFill>
              <w14:schemeClr w14:val="tx1"/>
            </w14:solidFill>
          </w14:textFill>
        </w:rPr>
        <w:t>符合合作基本条件且有意愿承接经办社保业务的银行</w:t>
      </w:r>
      <w:r>
        <w:rPr>
          <w:rFonts w:hint="eastAsia" w:ascii="宋体" w:hAnsi="宋体" w:eastAsia="仿宋_GB2312" w:cs="仿宋_GB2312"/>
          <w:color w:val="000000" w:themeColor="text1"/>
          <w:sz w:val="32"/>
          <w:szCs w:val="32"/>
          <w:lang w:eastAsia="zh-CN"/>
          <w14:textFill>
            <w14:solidFill>
              <w14:schemeClr w14:val="tx1"/>
            </w14:solidFill>
          </w14:textFill>
        </w:rPr>
        <w:t>，</w:t>
      </w:r>
      <w:r>
        <w:rPr>
          <w:rFonts w:hint="eastAsia" w:ascii="宋体" w:hAnsi="宋体" w:eastAsia="仿宋_GB2312" w:cs="仿宋_GB2312"/>
          <w:color w:val="000000" w:themeColor="text1"/>
          <w:sz w:val="32"/>
          <w:szCs w:val="32"/>
          <w14:textFill>
            <w14:solidFill>
              <w14:schemeClr w14:val="tx1"/>
            </w14:solidFill>
          </w14:textFill>
        </w:rPr>
        <w:t>向</w:t>
      </w:r>
      <w:r>
        <w:rPr>
          <w:rFonts w:hint="eastAsia" w:ascii="宋体" w:hAnsi="宋体" w:eastAsia="仿宋_GB2312" w:cs="仿宋_GB2312"/>
          <w:color w:val="000000" w:themeColor="text1"/>
          <w:sz w:val="32"/>
          <w:szCs w:val="32"/>
          <w:lang w:eastAsia="zh-CN"/>
          <w14:textFill>
            <w14:solidFill>
              <w14:schemeClr w14:val="tx1"/>
            </w14:solidFill>
          </w14:textFill>
        </w:rPr>
        <w:t>市县社保经办机构</w:t>
      </w:r>
      <w:r>
        <w:rPr>
          <w:rFonts w:hint="eastAsia" w:ascii="宋体" w:hAnsi="宋体" w:eastAsia="仿宋_GB2312" w:cs="仿宋_GB2312"/>
          <w:color w:val="000000" w:themeColor="text1"/>
          <w:sz w:val="32"/>
          <w:szCs w:val="32"/>
          <w14:textFill>
            <w14:solidFill>
              <w14:schemeClr w14:val="tx1"/>
            </w14:solidFill>
          </w14:textFill>
        </w:rPr>
        <w:t>提出合作</w:t>
      </w:r>
      <w:r>
        <w:rPr>
          <w:rFonts w:hint="eastAsia" w:ascii="宋体" w:hAnsi="宋体" w:eastAsia="仿宋_GB2312" w:cs="仿宋_GB2312"/>
          <w:color w:val="000000" w:themeColor="text1"/>
          <w:sz w:val="32"/>
          <w:szCs w:val="32"/>
          <w:lang w:eastAsia="zh-CN"/>
          <w14:textFill>
            <w14:solidFill>
              <w14:schemeClr w14:val="tx1"/>
            </w14:solidFill>
          </w14:textFill>
        </w:rPr>
        <w:t>意向</w:t>
      </w:r>
      <w:r>
        <w:rPr>
          <w:rFonts w:hint="eastAsia" w:ascii="宋体" w:hAnsi="宋体" w:eastAsia="仿宋_GB2312" w:cs="仿宋_GB2312"/>
          <w:color w:val="000000" w:themeColor="text1"/>
          <w:sz w:val="32"/>
          <w:szCs w:val="32"/>
          <w:lang w:val="en-US" w:eastAsia="zh-CN"/>
          <w14:textFill>
            <w14:solidFill>
              <w14:schemeClr w14:val="tx1"/>
            </w14:solidFill>
          </w14:textFill>
        </w:rPr>
        <w:t>申请，由当地社保经办机构</w:t>
      </w:r>
      <w:r>
        <w:rPr>
          <w:rFonts w:hint="eastAsia" w:ascii="宋体" w:hAnsi="宋体" w:eastAsia="仿宋_GB2312" w:cs="仿宋_GB2312"/>
          <w:color w:val="000000" w:themeColor="text1"/>
          <w:sz w:val="32"/>
          <w:szCs w:val="32"/>
          <w14:textFill>
            <w14:solidFill>
              <w14:schemeClr w14:val="tx1"/>
            </w14:solidFill>
          </w14:textFill>
        </w:rPr>
        <w:t>对申报银行进行条件审查</w:t>
      </w:r>
      <w:r>
        <w:rPr>
          <w:rFonts w:hint="eastAsia" w:ascii="宋体" w:hAnsi="宋体" w:eastAsia="仿宋_GB2312" w:cs="仿宋_GB2312"/>
          <w:color w:val="000000" w:themeColor="text1"/>
          <w:sz w:val="32"/>
          <w:szCs w:val="32"/>
          <w:lang w:eastAsia="zh-CN"/>
          <w14:textFill>
            <w14:solidFill>
              <w14:schemeClr w14:val="tx1"/>
            </w14:solidFill>
          </w14:textFill>
        </w:rPr>
        <w:t>，确认是否合作</w:t>
      </w:r>
      <w:r>
        <w:rPr>
          <w:rFonts w:hint="eastAsia" w:ascii="宋体" w:hAnsi="宋体" w:eastAsia="仿宋_GB2312" w:cs="仿宋_GB2312"/>
          <w:color w:val="000000" w:themeColor="text1"/>
          <w:sz w:val="32"/>
          <w:szCs w:val="32"/>
          <w14:textFill>
            <w14:solidFill>
              <w14:schemeClr w14:val="tx1"/>
            </w14:solidFill>
          </w14:textFill>
        </w:rPr>
        <w:t>。</w:t>
      </w:r>
    </w:p>
    <w:p w14:paraId="1F70FAD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仿宋_GB2312" w:cs="仿宋_GB2312"/>
          <w:sz w:val="32"/>
          <w:szCs w:val="32"/>
        </w:rPr>
      </w:pPr>
      <w:r>
        <w:rPr>
          <w:rFonts w:hint="eastAsia" w:ascii="宋体" w:hAnsi="宋体" w:eastAsia="仿宋_GB2312" w:cs="仿宋_GB2312"/>
          <w:b/>
          <w:bCs/>
          <w:sz w:val="32"/>
          <w:szCs w:val="40"/>
        </w:rPr>
        <w:t>第十</w:t>
      </w:r>
      <w:r>
        <w:rPr>
          <w:rFonts w:hint="eastAsia" w:ascii="宋体" w:hAnsi="宋体" w:eastAsia="仿宋_GB2312" w:cs="仿宋_GB2312"/>
          <w:b/>
          <w:bCs/>
          <w:sz w:val="32"/>
          <w:szCs w:val="40"/>
          <w:lang w:eastAsia="zh-CN"/>
        </w:rPr>
        <w:t>一</w:t>
      </w:r>
      <w:r>
        <w:rPr>
          <w:rFonts w:hint="eastAsia" w:ascii="宋体" w:hAnsi="宋体" w:eastAsia="仿宋_GB2312" w:cs="仿宋_GB2312"/>
          <w:b/>
          <w:bCs/>
          <w:sz w:val="32"/>
          <w:szCs w:val="40"/>
        </w:rPr>
        <w:t>条</w:t>
      </w:r>
      <w:r>
        <w:rPr>
          <w:rFonts w:hint="eastAsia" w:ascii="宋体" w:hAnsi="宋体" w:eastAsia="仿宋_GB2312" w:cs="仿宋_GB2312"/>
          <w:sz w:val="32"/>
          <w:szCs w:val="32"/>
        </w:rPr>
        <w:t xml:space="preserve"> </w:t>
      </w:r>
      <w:r>
        <w:rPr>
          <w:rFonts w:hint="eastAsia" w:ascii="宋体" w:hAnsi="宋体" w:eastAsia="仿宋_GB2312" w:cs="仿宋_GB2312"/>
          <w:sz w:val="32"/>
          <w:szCs w:val="32"/>
          <w:lang w:val="en-US" w:eastAsia="zh-CN"/>
        </w:rPr>
        <w:t xml:space="preserve"> </w:t>
      </w:r>
      <w:r>
        <w:rPr>
          <w:rFonts w:hint="default" w:ascii="宋体" w:hAnsi="宋体" w:eastAsia="仿宋_GB2312" w:cs="仿宋_GB2312"/>
          <w:sz w:val="32"/>
          <w:szCs w:val="32"/>
          <w:lang w:val="en-US" w:eastAsia="zh-CN"/>
        </w:rPr>
        <w:t>社保</w:t>
      </w:r>
      <w:r>
        <w:rPr>
          <w:rFonts w:hint="eastAsia" w:ascii="宋体" w:hAnsi="宋体" w:eastAsia="仿宋_GB2312" w:cs="仿宋_GB2312"/>
          <w:sz w:val="32"/>
          <w:szCs w:val="32"/>
          <w:lang w:val="en-US" w:eastAsia="zh-CN"/>
        </w:rPr>
        <w:t>经办机构</w:t>
      </w:r>
      <w:r>
        <w:rPr>
          <w:rFonts w:hint="eastAsia" w:ascii="宋体" w:hAnsi="宋体" w:eastAsia="仿宋_GB2312" w:cs="仿宋_GB2312"/>
          <w:sz w:val="32"/>
          <w:szCs w:val="32"/>
        </w:rPr>
        <w:t>与</w:t>
      </w:r>
      <w:r>
        <w:rPr>
          <w:rFonts w:hint="eastAsia" w:ascii="宋体" w:hAnsi="宋体" w:eastAsia="仿宋_GB2312" w:cs="仿宋_GB2312"/>
          <w:sz w:val="32"/>
          <w:szCs w:val="32"/>
          <w:lang w:eastAsia="zh-CN"/>
        </w:rPr>
        <w:t>审查通过的</w:t>
      </w:r>
      <w:r>
        <w:rPr>
          <w:rFonts w:hint="eastAsia" w:ascii="宋体" w:hAnsi="宋体" w:eastAsia="仿宋_GB2312" w:cs="仿宋_GB2312"/>
          <w:sz w:val="32"/>
          <w:szCs w:val="32"/>
        </w:rPr>
        <w:t>合作银行签署社保业务经办合作协议，明确双方权利义务和法律责任。</w:t>
      </w:r>
    </w:p>
    <w:p w14:paraId="6A306EA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仿宋_GB2312" w:cs="仿宋_GB2312"/>
          <w:sz w:val="32"/>
          <w:szCs w:val="32"/>
        </w:rPr>
      </w:pPr>
      <w:r>
        <w:rPr>
          <w:rFonts w:hint="eastAsia" w:ascii="宋体" w:hAnsi="宋体" w:eastAsia="仿宋_GB2312" w:cs="仿宋_GB2312"/>
          <w:b/>
          <w:bCs/>
          <w:sz w:val="32"/>
          <w:szCs w:val="40"/>
        </w:rPr>
        <w:t>第十</w:t>
      </w:r>
      <w:r>
        <w:rPr>
          <w:rFonts w:hint="eastAsia" w:ascii="宋体" w:hAnsi="宋体" w:eastAsia="仿宋_GB2312" w:cs="仿宋_GB2312"/>
          <w:b/>
          <w:bCs/>
          <w:sz w:val="32"/>
          <w:szCs w:val="40"/>
          <w:lang w:val="en-US" w:eastAsia="zh-CN"/>
        </w:rPr>
        <w:t>二</w:t>
      </w:r>
      <w:r>
        <w:rPr>
          <w:rFonts w:hint="eastAsia" w:ascii="宋体" w:hAnsi="宋体" w:eastAsia="仿宋_GB2312" w:cs="仿宋_GB2312"/>
          <w:b/>
          <w:bCs/>
          <w:sz w:val="32"/>
          <w:szCs w:val="40"/>
        </w:rPr>
        <w:t>条</w:t>
      </w:r>
      <w:r>
        <w:rPr>
          <w:rFonts w:hint="eastAsia" w:ascii="宋体" w:hAnsi="宋体" w:eastAsia="仿宋_GB2312" w:cs="仿宋_GB2312"/>
          <w:b/>
          <w:bCs/>
          <w:sz w:val="32"/>
          <w:szCs w:val="40"/>
          <w:lang w:val="en-US" w:eastAsia="zh-CN"/>
        </w:rPr>
        <w:t xml:space="preserve"> </w:t>
      </w:r>
      <w:r>
        <w:rPr>
          <w:rFonts w:hint="eastAsia" w:ascii="宋体" w:hAnsi="宋体" w:eastAsia="仿宋_GB2312" w:cs="仿宋_GB2312"/>
          <w:sz w:val="32"/>
          <w:szCs w:val="32"/>
        </w:rPr>
        <w:t xml:space="preserve"> </w:t>
      </w:r>
      <w:r>
        <w:rPr>
          <w:rFonts w:hint="eastAsia" w:ascii="宋体" w:hAnsi="宋体" w:eastAsia="仿宋_GB2312" w:cs="仿宋_GB2312"/>
          <w:sz w:val="32"/>
          <w:szCs w:val="32"/>
          <w:lang w:eastAsia="zh-CN"/>
        </w:rPr>
        <w:t>合作银行按要求完成场地、设施、人员配置，</w:t>
      </w:r>
      <w:r>
        <w:rPr>
          <w:rFonts w:hint="eastAsia" w:ascii="宋体" w:hAnsi="宋体" w:eastAsia="仿宋_GB2312" w:cs="仿宋_GB2312"/>
          <w:sz w:val="32"/>
          <w:szCs w:val="32"/>
          <w:lang w:val="en-US" w:eastAsia="zh-CN"/>
        </w:rPr>
        <w:t>同级社保经办机构负责组织合作银行网点培训，合作银行网点通过同级社保经办机构验收后方可挂牌</w:t>
      </w:r>
      <w:r>
        <w:rPr>
          <w:rFonts w:hint="eastAsia" w:ascii="宋体" w:hAnsi="宋体" w:eastAsia="仿宋_GB2312" w:cs="仿宋_GB2312"/>
          <w:sz w:val="32"/>
          <w:szCs w:val="32"/>
        </w:rPr>
        <w:t>。</w:t>
      </w:r>
    </w:p>
    <w:p w14:paraId="11C26DF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仿宋_GB2312" w:cs="仿宋_GB2312"/>
          <w:color w:val="000000" w:themeColor="text1"/>
          <w:sz w:val="32"/>
          <w:szCs w:val="32"/>
          <w14:textFill>
            <w14:solidFill>
              <w14:schemeClr w14:val="tx1"/>
            </w14:solidFill>
          </w14:textFill>
        </w:rPr>
      </w:pPr>
      <w:r>
        <w:rPr>
          <w:rFonts w:hint="eastAsia" w:ascii="宋体" w:hAnsi="宋体" w:eastAsia="仿宋_GB2312" w:cs="仿宋_GB2312"/>
          <w:b/>
          <w:bCs/>
          <w:sz w:val="32"/>
          <w:szCs w:val="40"/>
        </w:rPr>
        <w:t>第十</w:t>
      </w:r>
      <w:r>
        <w:rPr>
          <w:rFonts w:hint="eastAsia" w:ascii="宋体" w:hAnsi="宋体" w:eastAsia="仿宋_GB2312" w:cs="仿宋_GB2312"/>
          <w:b/>
          <w:bCs/>
          <w:sz w:val="32"/>
          <w:szCs w:val="40"/>
          <w:lang w:val="en-US" w:eastAsia="zh-CN"/>
        </w:rPr>
        <w:t>三</w:t>
      </w:r>
      <w:r>
        <w:rPr>
          <w:rFonts w:hint="eastAsia" w:ascii="宋体" w:hAnsi="宋体" w:eastAsia="仿宋_GB2312" w:cs="仿宋_GB2312"/>
          <w:b/>
          <w:bCs/>
          <w:sz w:val="32"/>
          <w:szCs w:val="40"/>
        </w:rPr>
        <w:t>条</w:t>
      </w:r>
      <w:r>
        <w:rPr>
          <w:rFonts w:hint="eastAsia" w:ascii="宋体" w:hAnsi="宋体" w:eastAsia="仿宋_GB2312" w:cs="仿宋_GB2312"/>
          <w:b/>
          <w:bCs/>
          <w:sz w:val="32"/>
          <w:szCs w:val="40"/>
          <w:lang w:val="en-US" w:eastAsia="zh-CN"/>
        </w:rPr>
        <w:t xml:space="preserve"> </w:t>
      </w:r>
      <w:r>
        <w:rPr>
          <w:rFonts w:hint="eastAsia" w:ascii="宋体" w:hAnsi="宋体" w:eastAsia="仿宋_GB2312" w:cs="仿宋_GB2312"/>
          <w:color w:val="FF0000"/>
          <w:sz w:val="32"/>
          <w:szCs w:val="32"/>
        </w:rPr>
        <w:t xml:space="preserve"> </w:t>
      </w:r>
      <w:r>
        <w:rPr>
          <w:rFonts w:hint="eastAsia" w:ascii="宋体" w:hAnsi="宋体" w:eastAsia="仿宋_GB2312" w:cs="仿宋_GB2312"/>
          <w:color w:val="000000" w:themeColor="text1"/>
          <w:sz w:val="32"/>
          <w:szCs w:val="32"/>
          <w14:textFill>
            <w14:solidFill>
              <w14:schemeClr w14:val="tx1"/>
            </w14:solidFill>
          </w14:textFill>
        </w:rPr>
        <w:t>签署协议后，合作网点应在</w:t>
      </w:r>
      <w:r>
        <w:rPr>
          <w:rFonts w:hint="eastAsia" w:ascii="宋体" w:hAnsi="宋体" w:eastAsia="仿宋_GB2312" w:cs="仿宋_GB2312"/>
          <w:color w:val="000000" w:themeColor="text1"/>
          <w:sz w:val="32"/>
          <w:szCs w:val="32"/>
          <w:lang w:val="en-US" w:eastAsia="zh-CN"/>
          <w14:textFill>
            <w14:solidFill>
              <w14:schemeClr w14:val="tx1"/>
            </w14:solidFill>
          </w14:textFill>
        </w:rPr>
        <w:t>显著位置</w:t>
      </w:r>
      <w:r>
        <w:rPr>
          <w:rFonts w:hint="eastAsia" w:ascii="宋体" w:hAnsi="宋体" w:eastAsia="仿宋_GB2312" w:cs="仿宋_GB2312"/>
          <w:color w:val="000000" w:themeColor="text1"/>
          <w:sz w:val="32"/>
          <w:szCs w:val="32"/>
          <w14:textFill>
            <w14:solidFill>
              <w14:schemeClr w14:val="tx1"/>
            </w14:solidFill>
          </w14:textFill>
        </w:rPr>
        <w:t>增挂统一规范的“社保服务合作网点”标牌，</w:t>
      </w:r>
      <w:r>
        <w:rPr>
          <w:rFonts w:hint="eastAsia" w:ascii="宋体" w:hAnsi="宋体" w:eastAsia="仿宋_GB2312" w:cs="仿宋_GB2312"/>
          <w:color w:val="000000" w:themeColor="text1"/>
          <w:sz w:val="32"/>
          <w:szCs w:val="32"/>
          <w:lang w:val="en-US" w:eastAsia="zh-CN"/>
          <w14:textFill>
            <w14:solidFill>
              <w14:schemeClr w14:val="tx1"/>
            </w14:solidFill>
          </w14:textFill>
        </w:rPr>
        <w:t>设置社保</w:t>
      </w:r>
      <w:r>
        <w:rPr>
          <w:rFonts w:hint="eastAsia" w:ascii="宋体" w:hAnsi="宋体" w:eastAsia="仿宋_GB2312" w:cs="仿宋_GB2312"/>
          <w:color w:val="000000" w:themeColor="text1"/>
          <w:sz w:val="32"/>
          <w:szCs w:val="32"/>
          <w14:textFill>
            <w14:solidFill>
              <w14:schemeClr w14:val="tx1"/>
            </w14:solidFill>
          </w14:textFill>
        </w:rPr>
        <w:t>业务窗口（柜台）、导办区、网办区、自助服务区</w:t>
      </w:r>
      <w:r>
        <w:rPr>
          <w:rFonts w:hint="eastAsia" w:ascii="宋体" w:hAnsi="宋体" w:eastAsia="仿宋_GB2312" w:cs="仿宋_GB2312"/>
          <w:color w:val="000000" w:themeColor="text1"/>
          <w:sz w:val="32"/>
          <w:szCs w:val="32"/>
          <w:lang w:val="en-US" w:eastAsia="zh-CN"/>
          <w14:textFill>
            <w14:solidFill>
              <w14:schemeClr w14:val="tx1"/>
            </w14:solidFill>
          </w14:textFill>
        </w:rPr>
        <w:t>等功能区域，并</w:t>
      </w:r>
      <w:r>
        <w:rPr>
          <w:rFonts w:hint="eastAsia" w:ascii="宋体" w:hAnsi="宋体" w:eastAsia="仿宋_GB2312" w:cs="仿宋_GB2312"/>
          <w:color w:val="000000" w:themeColor="text1"/>
          <w:sz w:val="32"/>
          <w:szCs w:val="32"/>
          <w14:textFill>
            <w14:solidFill>
              <w14:schemeClr w14:val="tx1"/>
            </w14:solidFill>
          </w14:textFill>
        </w:rPr>
        <w:t>标示社保业务相关标识。</w:t>
      </w:r>
    </w:p>
    <w:p w14:paraId="6484659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黑体" w:cs="黑体"/>
          <w:color w:val="000000" w:themeColor="text1"/>
          <w:sz w:val="32"/>
          <w:szCs w:val="40"/>
          <w14:textFill>
            <w14:solidFill>
              <w14:schemeClr w14:val="tx1"/>
            </w14:solidFill>
          </w14:textFill>
        </w:rPr>
      </w:pPr>
      <w:r>
        <w:rPr>
          <w:rFonts w:hint="eastAsia" w:ascii="宋体" w:hAnsi="宋体" w:eastAsia="仿宋_GB2312" w:cs="仿宋_GB2312"/>
          <w:b/>
          <w:bCs/>
          <w:sz w:val="32"/>
          <w:szCs w:val="40"/>
          <w:lang w:val="en-US" w:eastAsia="zh-CN"/>
        </w:rPr>
        <w:t xml:space="preserve">第十四条 </w:t>
      </w:r>
      <w:r>
        <w:rPr>
          <w:rFonts w:hint="eastAsia" w:ascii="宋体" w:hAnsi="宋体" w:eastAsia="仿宋_GB2312" w:cs="仿宋_GB2312"/>
          <w:color w:val="FF0000"/>
          <w:sz w:val="32"/>
          <w:szCs w:val="32"/>
          <w:lang w:val="en-US" w:eastAsia="zh-CN"/>
        </w:rPr>
        <w:t xml:space="preserve"> </w:t>
      </w:r>
      <w:r>
        <w:rPr>
          <w:rFonts w:hint="eastAsia" w:ascii="宋体" w:hAnsi="宋体" w:eastAsia="仿宋_GB2312" w:cs="仿宋_GB2312"/>
          <w:color w:val="000000" w:themeColor="text1"/>
          <w:sz w:val="32"/>
          <w:szCs w:val="32"/>
          <w14:textFill>
            <w14:solidFill>
              <w14:schemeClr w14:val="tx1"/>
            </w14:solidFill>
          </w14:textFill>
        </w:rPr>
        <w:t>合作银行因自身原因需新增合作网点或调整合作网点的，应提前30个工作日向社保经办机构提出书面申请，经审核符合条件的，办理变更手续并更新合作协议相关内容。</w:t>
      </w:r>
    </w:p>
    <w:p w14:paraId="3F0B29A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黑体" w:cs="黑体"/>
          <w:sz w:val="32"/>
          <w:szCs w:val="40"/>
        </w:rPr>
      </w:pPr>
    </w:p>
    <w:p w14:paraId="6958B00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黑体" w:cs="黑体"/>
          <w:color w:val="auto"/>
          <w:sz w:val="32"/>
          <w:szCs w:val="40"/>
          <w:lang w:eastAsia="zh-CN"/>
        </w:rPr>
      </w:pPr>
      <w:r>
        <w:rPr>
          <w:rFonts w:hint="eastAsia" w:ascii="宋体" w:hAnsi="宋体" w:eastAsia="黑体" w:cs="黑体"/>
          <w:sz w:val="32"/>
          <w:szCs w:val="40"/>
        </w:rPr>
        <w:t>第四章</w:t>
      </w:r>
      <w:r>
        <w:rPr>
          <w:rFonts w:hint="eastAsia" w:ascii="宋体" w:hAnsi="宋体" w:eastAsia="黑体" w:cs="黑体"/>
          <w:sz w:val="32"/>
          <w:szCs w:val="40"/>
          <w:lang w:val="en-US" w:eastAsia="zh-CN"/>
        </w:rPr>
        <w:t xml:space="preserve">  </w:t>
      </w:r>
      <w:r>
        <w:rPr>
          <w:rFonts w:hint="eastAsia" w:ascii="宋体" w:hAnsi="宋体" w:eastAsia="黑体" w:cs="黑体"/>
          <w:sz w:val="32"/>
          <w:szCs w:val="40"/>
        </w:rPr>
        <w:t>经办规范</w:t>
      </w:r>
      <w:r>
        <w:rPr>
          <w:rFonts w:hint="eastAsia" w:ascii="宋体" w:hAnsi="宋体" w:eastAsia="黑体" w:cs="黑体"/>
          <w:color w:val="auto"/>
          <w:sz w:val="32"/>
          <w:szCs w:val="40"/>
          <w:lang w:eastAsia="zh-CN"/>
        </w:rPr>
        <w:t>与保障</w:t>
      </w:r>
    </w:p>
    <w:p w14:paraId="556E6FB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仿宋_GB2312" w:cs="仿宋_GB2312"/>
          <w:color w:val="auto"/>
          <w:sz w:val="32"/>
          <w:szCs w:val="40"/>
          <w:lang w:eastAsia="zh-CN"/>
        </w:rPr>
      </w:pPr>
      <w:r>
        <w:rPr>
          <w:rFonts w:hint="eastAsia" w:ascii="宋体" w:hAnsi="宋体" w:eastAsia="仿宋_GB2312" w:cs="仿宋_GB2312"/>
          <w:b/>
          <w:bCs/>
          <w:color w:val="auto"/>
          <w:sz w:val="32"/>
          <w:szCs w:val="40"/>
        </w:rPr>
        <w:t>第</w:t>
      </w:r>
      <w:r>
        <w:rPr>
          <w:rFonts w:hint="eastAsia" w:ascii="宋体" w:hAnsi="宋体" w:eastAsia="仿宋_GB2312" w:cs="仿宋_GB2312"/>
          <w:b/>
          <w:bCs/>
          <w:color w:val="auto"/>
          <w:sz w:val="32"/>
          <w:szCs w:val="40"/>
          <w:lang w:eastAsia="zh-CN"/>
        </w:rPr>
        <w:t>十五</w:t>
      </w:r>
      <w:r>
        <w:rPr>
          <w:rFonts w:hint="eastAsia" w:ascii="宋体" w:hAnsi="宋体" w:eastAsia="仿宋_GB2312" w:cs="仿宋_GB2312"/>
          <w:b/>
          <w:bCs/>
          <w:color w:val="auto"/>
          <w:sz w:val="32"/>
          <w:szCs w:val="40"/>
        </w:rPr>
        <w:t>条</w:t>
      </w:r>
      <w:r>
        <w:rPr>
          <w:rFonts w:hint="eastAsia" w:ascii="宋体" w:hAnsi="宋体" w:eastAsia="仿宋_GB2312" w:cs="仿宋_GB2312"/>
          <w:b/>
          <w:bCs/>
          <w:color w:val="auto"/>
          <w:sz w:val="32"/>
          <w:szCs w:val="40"/>
          <w:lang w:val="en-US" w:eastAsia="zh-CN"/>
        </w:rPr>
        <w:t xml:space="preserve"> </w:t>
      </w:r>
      <w:r>
        <w:rPr>
          <w:rFonts w:hint="eastAsia" w:ascii="宋体" w:hAnsi="宋体" w:eastAsia="楷体_GB2312" w:cs="楷体_GB2312"/>
          <w:color w:val="auto"/>
          <w:sz w:val="32"/>
          <w:szCs w:val="40"/>
          <w:lang w:val="en-US" w:eastAsia="zh-CN"/>
        </w:rPr>
        <w:t xml:space="preserve"> </w:t>
      </w:r>
      <w:r>
        <w:rPr>
          <w:rFonts w:hint="eastAsia" w:ascii="宋体" w:hAnsi="宋体" w:eastAsia="仿宋_GB2312" w:cs="仿宋_GB2312"/>
          <w:color w:val="auto"/>
          <w:sz w:val="32"/>
          <w:szCs w:val="40"/>
          <w:lang w:eastAsia="zh-CN"/>
        </w:rPr>
        <w:t>社会保险经办机构</w:t>
      </w:r>
      <w:r>
        <w:rPr>
          <w:rFonts w:hint="eastAsia" w:ascii="宋体" w:hAnsi="宋体" w:eastAsia="仿宋_GB2312" w:cs="仿宋_GB2312"/>
          <w:color w:val="auto"/>
          <w:sz w:val="32"/>
          <w:szCs w:val="40"/>
        </w:rPr>
        <w:t>负责制定</w:t>
      </w:r>
      <w:r>
        <w:rPr>
          <w:rFonts w:hint="eastAsia" w:ascii="宋体" w:hAnsi="宋体" w:eastAsia="仿宋_GB2312" w:cs="仿宋_GB2312"/>
          <w:color w:val="auto"/>
          <w:sz w:val="32"/>
          <w:szCs w:val="40"/>
          <w:lang w:eastAsia="zh-CN"/>
        </w:rPr>
        <w:t>社银合作</w:t>
      </w:r>
      <w:r>
        <w:rPr>
          <w:rFonts w:hint="eastAsia" w:ascii="宋体" w:hAnsi="宋体" w:eastAsia="仿宋_GB2312" w:cs="仿宋_GB2312"/>
          <w:color w:val="auto"/>
          <w:sz w:val="32"/>
          <w:szCs w:val="40"/>
        </w:rPr>
        <w:t>事项办事指南和系统操作指南，并动态调整。</w:t>
      </w:r>
      <w:r>
        <w:rPr>
          <w:rFonts w:hint="eastAsia" w:ascii="宋体" w:hAnsi="宋体" w:eastAsia="仿宋_GB2312" w:cs="仿宋_GB2312"/>
          <w:color w:val="auto"/>
          <w:sz w:val="32"/>
          <w:szCs w:val="40"/>
          <w:lang w:eastAsia="zh-CN"/>
        </w:rPr>
        <w:t>合作银行网点将指南</w:t>
      </w:r>
      <w:r>
        <w:rPr>
          <w:rFonts w:hint="eastAsia" w:ascii="宋体" w:hAnsi="宋体" w:eastAsia="仿宋_GB2312" w:cs="仿宋_GB2312"/>
          <w:color w:val="auto"/>
          <w:sz w:val="32"/>
          <w:szCs w:val="32"/>
          <w:lang w:eastAsia="zh-CN"/>
        </w:rPr>
        <w:t>发放至全体经办人员，确保经办社保业务有章可循</w:t>
      </w:r>
      <w:r>
        <w:rPr>
          <w:rFonts w:hint="eastAsia" w:ascii="宋体" w:hAnsi="宋体" w:eastAsia="仿宋_GB2312" w:cs="仿宋_GB2312"/>
          <w:color w:val="auto"/>
          <w:sz w:val="32"/>
          <w:szCs w:val="40"/>
        </w:rPr>
        <w:t>。社银合作双方应共同组织合作网点经办人员岗前培训和日常培训工作。培训内容包括社保政策法规、系统操作、服务规范、安全保密等。培训形式可采用集中培训、岗位实训、定制培训等多种方式。合作网点经办人员需参加岗前培训并考核合格方可上岗</w:t>
      </w:r>
      <w:r>
        <w:rPr>
          <w:rFonts w:hint="eastAsia" w:ascii="宋体" w:hAnsi="宋体" w:eastAsia="仿宋_GB2312" w:cs="仿宋_GB2312"/>
          <w:color w:val="auto"/>
          <w:sz w:val="32"/>
          <w:szCs w:val="40"/>
          <w:lang w:eastAsia="zh-CN"/>
        </w:rPr>
        <w:t>。</w:t>
      </w:r>
    </w:p>
    <w:p w14:paraId="0C0014F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仿宋_GB2312" w:cs="仿宋_GB2312"/>
          <w:b w:val="0"/>
          <w:bCs w:val="0"/>
          <w:color w:val="auto"/>
          <w:sz w:val="32"/>
          <w:szCs w:val="32"/>
          <w:highlight w:val="none"/>
          <w:lang w:val="en-US" w:eastAsia="zh-CN"/>
        </w:rPr>
      </w:pPr>
      <w:r>
        <w:rPr>
          <w:rFonts w:hint="eastAsia" w:ascii="宋体" w:hAnsi="宋体" w:eastAsia="仿宋_GB2312" w:cs="仿宋_GB2312"/>
          <w:b/>
          <w:bCs/>
          <w:sz w:val="32"/>
          <w:szCs w:val="40"/>
        </w:rPr>
        <w:t>第十</w:t>
      </w:r>
      <w:r>
        <w:rPr>
          <w:rFonts w:hint="eastAsia" w:ascii="宋体" w:hAnsi="宋体" w:eastAsia="仿宋_GB2312" w:cs="仿宋_GB2312"/>
          <w:b/>
          <w:bCs/>
          <w:sz w:val="32"/>
          <w:szCs w:val="40"/>
          <w:lang w:eastAsia="zh-CN"/>
        </w:rPr>
        <w:t>六</w:t>
      </w:r>
      <w:r>
        <w:rPr>
          <w:rFonts w:hint="eastAsia" w:ascii="宋体" w:hAnsi="宋体" w:eastAsia="仿宋_GB2312" w:cs="仿宋_GB2312"/>
          <w:b/>
          <w:bCs/>
          <w:sz w:val="32"/>
          <w:szCs w:val="40"/>
        </w:rPr>
        <w:t>条</w:t>
      </w:r>
      <w:r>
        <w:rPr>
          <w:rFonts w:hint="eastAsia" w:ascii="宋体" w:hAnsi="宋体" w:eastAsia="楷体_GB2312" w:cs="楷体_GB2312"/>
          <w:sz w:val="32"/>
          <w:szCs w:val="40"/>
          <w:lang w:val="en-US" w:eastAsia="zh-CN"/>
        </w:rPr>
        <w:t xml:space="preserve">  </w:t>
      </w:r>
      <w:r>
        <w:rPr>
          <w:rFonts w:hint="eastAsia" w:ascii="宋体" w:hAnsi="宋体" w:eastAsia="仿宋_GB2312" w:cs="仿宋_GB2312"/>
          <w:sz w:val="32"/>
          <w:szCs w:val="40"/>
        </w:rPr>
        <w:t>合作</w:t>
      </w:r>
      <w:r>
        <w:rPr>
          <w:rFonts w:hint="eastAsia" w:ascii="宋体" w:hAnsi="宋体" w:eastAsia="仿宋_GB2312" w:cs="仿宋_GB2312"/>
          <w:sz w:val="32"/>
          <w:szCs w:val="40"/>
          <w:lang w:eastAsia="zh-CN"/>
        </w:rPr>
        <w:t>银行</w:t>
      </w:r>
      <w:r>
        <w:rPr>
          <w:rFonts w:hint="eastAsia" w:ascii="宋体" w:hAnsi="宋体" w:eastAsia="仿宋_GB2312" w:cs="仿宋_GB2312"/>
          <w:sz w:val="32"/>
          <w:szCs w:val="40"/>
        </w:rPr>
        <w:t>网点</w:t>
      </w:r>
      <w:r>
        <w:rPr>
          <w:rFonts w:hint="eastAsia" w:ascii="宋体" w:hAnsi="宋体" w:eastAsia="仿宋_GB2312" w:cs="仿宋_GB2312"/>
          <w:sz w:val="32"/>
          <w:szCs w:val="40"/>
          <w:lang w:val="en-US" w:eastAsia="zh-CN"/>
        </w:rPr>
        <w:t>专窗服务时间</w:t>
      </w:r>
      <w:r>
        <w:rPr>
          <w:rFonts w:hint="eastAsia" w:ascii="宋体" w:hAnsi="宋体" w:eastAsia="仿宋_GB2312" w:cs="仿宋_GB2312"/>
          <w:sz w:val="32"/>
          <w:szCs w:val="40"/>
          <w:lang w:eastAsia="zh-CN"/>
        </w:rPr>
        <w:t>原则上</w:t>
      </w:r>
      <w:r>
        <w:rPr>
          <w:rFonts w:hint="eastAsia" w:ascii="宋体" w:hAnsi="宋体" w:eastAsia="仿宋_GB2312" w:cs="仿宋_GB2312"/>
          <w:sz w:val="32"/>
          <w:szCs w:val="40"/>
          <w:lang w:val="en-US" w:eastAsia="zh-CN"/>
        </w:rPr>
        <w:t>应与社保业务大厅服务时间保持一致，每日下午可根据银行营业时间实际减少一小时。合作网点社保专窗应</w:t>
      </w:r>
      <w:r>
        <w:rPr>
          <w:rFonts w:hint="eastAsia" w:ascii="宋体" w:hAnsi="宋体" w:eastAsia="仿宋_GB2312" w:cs="仿宋_GB2312"/>
          <w:sz w:val="32"/>
          <w:szCs w:val="40"/>
          <w:lang w:eastAsia="zh-CN"/>
        </w:rPr>
        <w:t>适当</w:t>
      </w:r>
      <w:r>
        <w:rPr>
          <w:rFonts w:hint="eastAsia" w:ascii="宋体" w:hAnsi="宋体" w:eastAsia="仿宋_GB2312" w:cs="仿宋_GB2312"/>
          <w:sz w:val="32"/>
          <w:szCs w:val="40"/>
        </w:rPr>
        <w:t>开展午间服务、节假日服务</w:t>
      </w:r>
      <w:r>
        <w:rPr>
          <w:rFonts w:hint="eastAsia" w:ascii="宋体" w:hAnsi="宋体" w:eastAsia="仿宋_GB2312" w:cs="仿宋_GB2312"/>
          <w:sz w:val="32"/>
          <w:szCs w:val="40"/>
          <w:lang w:val="en-US" w:eastAsia="zh-CN"/>
        </w:rPr>
        <w:t>。</w:t>
      </w:r>
      <w:r>
        <w:rPr>
          <w:rFonts w:hint="eastAsia" w:ascii="宋体" w:hAnsi="宋体" w:eastAsia="仿宋_GB2312" w:cs="仿宋_GB2312"/>
          <w:sz w:val="32"/>
          <w:szCs w:val="32"/>
        </w:rPr>
        <w:t>设置自助服务区的，自助终端与省人社一体化系统实时对接实现业务经办</w:t>
      </w:r>
      <w:r>
        <w:rPr>
          <w:rFonts w:hint="eastAsia" w:ascii="宋体" w:hAnsi="宋体" w:eastAsia="仿宋_GB2312" w:cs="仿宋_GB2312"/>
          <w:sz w:val="32"/>
          <w:szCs w:val="32"/>
          <w:lang w:eastAsia="zh-CN"/>
        </w:rPr>
        <w:t>，</w:t>
      </w:r>
      <w:r>
        <w:rPr>
          <w:rFonts w:hint="eastAsia" w:ascii="宋体" w:hAnsi="宋体" w:eastAsia="仿宋_GB2312" w:cs="仿宋_GB2312"/>
          <w:sz w:val="32"/>
          <w:szCs w:val="40"/>
          <w:lang w:val="en-US" w:eastAsia="zh-CN"/>
        </w:rPr>
        <w:t>在对社会公示的营业时间内确保正常运行</w:t>
      </w:r>
      <w:r>
        <w:rPr>
          <w:rFonts w:hint="eastAsia" w:ascii="宋体" w:hAnsi="宋体" w:eastAsia="仿宋_GB2312" w:cs="仿宋_GB2312"/>
          <w:b w:val="0"/>
          <w:bCs w:val="0"/>
          <w:color w:val="auto"/>
          <w:sz w:val="32"/>
          <w:szCs w:val="32"/>
          <w:highlight w:val="none"/>
          <w:lang w:val="en-US" w:eastAsia="zh-CN"/>
        </w:rPr>
        <w:t>。</w:t>
      </w:r>
    </w:p>
    <w:p w14:paraId="588F1AD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仿宋_GB2312" w:cs="仿宋_GB2312"/>
          <w:sz w:val="32"/>
          <w:szCs w:val="40"/>
        </w:rPr>
      </w:pPr>
      <w:r>
        <w:rPr>
          <w:rFonts w:hint="eastAsia" w:ascii="宋体" w:hAnsi="宋体" w:eastAsia="仿宋_GB2312" w:cs="仿宋_GB2312"/>
          <w:b/>
          <w:bCs/>
          <w:sz w:val="32"/>
          <w:szCs w:val="40"/>
        </w:rPr>
        <w:t>第十</w:t>
      </w:r>
      <w:r>
        <w:rPr>
          <w:rFonts w:hint="eastAsia" w:ascii="宋体" w:hAnsi="宋体" w:eastAsia="仿宋_GB2312" w:cs="仿宋_GB2312"/>
          <w:b/>
          <w:bCs/>
          <w:sz w:val="32"/>
          <w:szCs w:val="40"/>
          <w:lang w:eastAsia="zh-CN"/>
        </w:rPr>
        <w:t>七</w:t>
      </w:r>
      <w:r>
        <w:rPr>
          <w:rFonts w:hint="eastAsia" w:ascii="宋体" w:hAnsi="宋体" w:eastAsia="仿宋_GB2312" w:cs="仿宋_GB2312"/>
          <w:b/>
          <w:bCs/>
          <w:sz w:val="32"/>
          <w:szCs w:val="40"/>
        </w:rPr>
        <w:t>条</w:t>
      </w:r>
      <w:r>
        <w:rPr>
          <w:rFonts w:hint="eastAsia" w:ascii="宋体" w:hAnsi="宋体" w:eastAsia="仿宋_GB2312" w:cs="仿宋_GB2312"/>
          <w:b/>
          <w:bCs/>
          <w:sz w:val="32"/>
          <w:szCs w:val="40"/>
          <w:lang w:val="en-US" w:eastAsia="zh-CN"/>
        </w:rPr>
        <w:t xml:space="preserve"> </w:t>
      </w:r>
      <w:r>
        <w:rPr>
          <w:rFonts w:hint="eastAsia" w:ascii="宋体" w:hAnsi="宋体" w:eastAsia="仿宋_GB2312" w:cs="仿宋_GB2312"/>
          <w:sz w:val="32"/>
          <w:szCs w:val="40"/>
          <w:lang w:val="en-US" w:eastAsia="zh-CN"/>
        </w:rPr>
        <w:t xml:space="preserve"> </w:t>
      </w:r>
      <w:r>
        <w:rPr>
          <w:rFonts w:hint="eastAsia" w:ascii="宋体" w:hAnsi="宋体" w:eastAsia="仿宋_GB2312" w:cs="仿宋_GB2312"/>
          <w:sz w:val="32"/>
          <w:szCs w:val="40"/>
        </w:rPr>
        <w:t>合作</w:t>
      </w:r>
      <w:r>
        <w:rPr>
          <w:rFonts w:hint="eastAsia" w:ascii="宋体" w:hAnsi="宋体" w:eastAsia="仿宋_GB2312" w:cs="仿宋_GB2312"/>
          <w:sz w:val="32"/>
          <w:szCs w:val="40"/>
          <w:lang w:eastAsia="zh-CN"/>
        </w:rPr>
        <w:t>银行</w:t>
      </w:r>
      <w:r>
        <w:rPr>
          <w:rFonts w:hint="eastAsia" w:ascii="宋体" w:hAnsi="宋体" w:eastAsia="仿宋_GB2312" w:cs="仿宋_GB2312"/>
          <w:sz w:val="32"/>
          <w:szCs w:val="40"/>
        </w:rPr>
        <w:t>网点</w:t>
      </w:r>
      <w:r>
        <w:rPr>
          <w:rFonts w:hint="eastAsia" w:ascii="宋体" w:hAnsi="宋体" w:eastAsia="仿宋_GB2312" w:cs="仿宋_GB2312"/>
          <w:sz w:val="32"/>
          <w:szCs w:val="40"/>
          <w:lang w:eastAsia="zh-CN"/>
        </w:rPr>
        <w:t>应按照“</w:t>
      </w:r>
      <w:r>
        <w:rPr>
          <w:rFonts w:hint="eastAsia" w:ascii="宋体" w:hAnsi="宋体" w:eastAsia="仿宋_GB2312" w:cs="仿宋_GB2312"/>
          <w:sz w:val="32"/>
          <w:szCs w:val="40"/>
        </w:rPr>
        <w:t>管理岗、导办咨询岗、经办岗、资料岗</w:t>
      </w:r>
      <w:r>
        <w:rPr>
          <w:rFonts w:hint="eastAsia" w:ascii="宋体" w:hAnsi="宋体" w:eastAsia="仿宋_GB2312" w:cs="仿宋_GB2312"/>
          <w:sz w:val="32"/>
          <w:szCs w:val="40"/>
          <w:lang w:eastAsia="zh-CN"/>
        </w:rPr>
        <w:t>”配置人员</w:t>
      </w:r>
      <w:r>
        <w:rPr>
          <w:rFonts w:hint="eastAsia" w:ascii="宋体" w:hAnsi="宋体" w:eastAsia="仿宋_GB2312" w:cs="仿宋_GB2312"/>
          <w:sz w:val="32"/>
          <w:szCs w:val="40"/>
        </w:rPr>
        <w:t>，鼓励有条件的网点实现“专人专岗”。各岗位人员主要职责如下：</w:t>
      </w:r>
    </w:p>
    <w:p w14:paraId="4E51B79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仿宋_GB2312"/>
          <w:sz w:val="32"/>
          <w:szCs w:val="40"/>
        </w:rPr>
      </w:pPr>
      <w:r>
        <w:rPr>
          <w:rFonts w:hint="eastAsia" w:ascii="宋体" w:hAnsi="宋体" w:eastAsia="楷体_GB2312" w:cs="楷体_GB2312"/>
          <w:sz w:val="32"/>
          <w:szCs w:val="40"/>
        </w:rPr>
        <w:t>（一）管理岗：</w:t>
      </w:r>
      <w:r>
        <w:rPr>
          <w:rFonts w:hint="eastAsia" w:ascii="宋体" w:hAnsi="宋体" w:eastAsia="仿宋_GB2312" w:cs="仿宋_GB2312"/>
          <w:sz w:val="32"/>
          <w:szCs w:val="40"/>
        </w:rPr>
        <w:t>负责与社保经办机构进行工作协调及管理合作网点的经办社保业务工作；</w:t>
      </w:r>
    </w:p>
    <w:p w14:paraId="5D8C273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仿宋_GB2312"/>
          <w:sz w:val="32"/>
          <w:szCs w:val="40"/>
        </w:rPr>
      </w:pPr>
      <w:r>
        <w:rPr>
          <w:rFonts w:hint="eastAsia" w:ascii="宋体" w:hAnsi="宋体" w:eastAsia="楷体_GB2312" w:cs="楷体_GB2312"/>
          <w:sz w:val="32"/>
          <w:szCs w:val="40"/>
        </w:rPr>
        <w:t>（二）导办咨询岗：</w:t>
      </w:r>
      <w:r>
        <w:rPr>
          <w:rFonts w:hint="eastAsia" w:ascii="宋体" w:hAnsi="宋体" w:eastAsia="仿宋_GB2312" w:cs="仿宋_GB2312"/>
          <w:sz w:val="32"/>
          <w:szCs w:val="40"/>
        </w:rPr>
        <w:t>负责在大厅导办区开展服务，帮助、指导自助服务与网办服务；</w:t>
      </w:r>
    </w:p>
    <w:p w14:paraId="1F3DC3E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仿宋_GB2312"/>
          <w:sz w:val="32"/>
          <w:szCs w:val="40"/>
        </w:rPr>
      </w:pPr>
      <w:r>
        <w:rPr>
          <w:rFonts w:hint="eastAsia" w:ascii="宋体" w:hAnsi="宋体" w:eastAsia="楷体_GB2312" w:cs="楷体_GB2312"/>
          <w:sz w:val="32"/>
          <w:szCs w:val="40"/>
        </w:rPr>
        <w:t>（三）经办岗</w:t>
      </w:r>
      <w:r>
        <w:rPr>
          <w:rFonts w:hint="eastAsia" w:ascii="宋体" w:hAnsi="宋体" w:eastAsia="楷体_GB2312" w:cs="楷体_GB2312"/>
          <w:sz w:val="32"/>
          <w:szCs w:val="40"/>
          <w:lang w:eastAsia="zh-CN"/>
        </w:rPr>
        <w:t>：</w:t>
      </w:r>
      <w:r>
        <w:rPr>
          <w:rFonts w:hint="eastAsia" w:ascii="宋体" w:hAnsi="宋体" w:eastAsia="仿宋_GB2312" w:cs="仿宋_GB2312"/>
          <w:sz w:val="32"/>
          <w:szCs w:val="40"/>
        </w:rPr>
        <w:t>负责具体经办合作网点可办理的社保业务；</w:t>
      </w:r>
    </w:p>
    <w:p w14:paraId="72975B9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仿宋_GB2312"/>
          <w:sz w:val="32"/>
          <w:szCs w:val="40"/>
        </w:rPr>
      </w:pPr>
      <w:r>
        <w:rPr>
          <w:rFonts w:hint="eastAsia" w:ascii="宋体" w:hAnsi="宋体" w:eastAsia="楷体_GB2312" w:cs="楷体_GB2312"/>
          <w:sz w:val="32"/>
          <w:szCs w:val="40"/>
        </w:rPr>
        <w:t>（四）资料岗</w:t>
      </w:r>
      <w:r>
        <w:rPr>
          <w:rFonts w:hint="eastAsia" w:ascii="宋体" w:hAnsi="宋体" w:eastAsia="楷体_GB2312" w:cs="楷体_GB2312"/>
          <w:sz w:val="32"/>
          <w:szCs w:val="40"/>
          <w:lang w:eastAsia="zh-CN"/>
        </w:rPr>
        <w:t>：</w:t>
      </w:r>
      <w:r>
        <w:rPr>
          <w:rFonts w:hint="eastAsia" w:ascii="宋体" w:hAnsi="宋体" w:eastAsia="仿宋_GB2312" w:cs="仿宋_GB2312"/>
          <w:sz w:val="32"/>
          <w:szCs w:val="40"/>
        </w:rPr>
        <w:t>负责整理本网点业务材料并向社保经办机构移交。</w:t>
      </w:r>
    </w:p>
    <w:p w14:paraId="08694E6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仿宋_GB2312" w:cs="仿宋_GB2312"/>
          <w:sz w:val="32"/>
          <w:szCs w:val="40"/>
        </w:rPr>
      </w:pPr>
      <w:r>
        <w:rPr>
          <w:rFonts w:hint="eastAsia" w:ascii="宋体" w:hAnsi="宋体" w:eastAsia="仿宋_GB2312" w:cs="仿宋_GB2312"/>
          <w:b/>
          <w:bCs/>
          <w:sz w:val="32"/>
          <w:szCs w:val="40"/>
        </w:rPr>
        <w:t>第</w:t>
      </w:r>
      <w:r>
        <w:rPr>
          <w:rFonts w:hint="eastAsia" w:ascii="宋体" w:hAnsi="宋体" w:eastAsia="仿宋_GB2312" w:cs="仿宋_GB2312"/>
          <w:b/>
          <w:bCs/>
          <w:sz w:val="32"/>
          <w:szCs w:val="40"/>
          <w:lang w:eastAsia="zh-CN"/>
        </w:rPr>
        <w:t>十八</w:t>
      </w:r>
      <w:r>
        <w:rPr>
          <w:rFonts w:hint="eastAsia" w:ascii="宋体" w:hAnsi="宋体" w:eastAsia="仿宋_GB2312" w:cs="仿宋_GB2312"/>
          <w:b/>
          <w:bCs/>
          <w:sz w:val="32"/>
          <w:szCs w:val="40"/>
        </w:rPr>
        <w:t>条</w:t>
      </w:r>
      <w:r>
        <w:rPr>
          <w:rFonts w:hint="eastAsia" w:ascii="宋体" w:hAnsi="宋体" w:eastAsia="楷体_GB2312" w:cs="楷体_GB2312"/>
          <w:sz w:val="32"/>
          <w:szCs w:val="40"/>
          <w:lang w:val="en-US" w:eastAsia="zh-CN"/>
        </w:rPr>
        <w:t xml:space="preserve">  </w:t>
      </w:r>
      <w:r>
        <w:rPr>
          <w:rFonts w:hint="eastAsia" w:ascii="宋体" w:hAnsi="宋体" w:eastAsia="仿宋_GB2312" w:cs="仿宋_GB2312"/>
          <w:sz w:val="32"/>
          <w:szCs w:val="40"/>
        </w:rPr>
        <w:t>合作银行按照社会保险法律法规、社保业务经办规程和</w:t>
      </w:r>
      <w:r>
        <w:rPr>
          <w:rFonts w:hint="eastAsia" w:ascii="宋体" w:hAnsi="宋体" w:eastAsia="仿宋_GB2312" w:cs="仿宋_GB2312"/>
          <w:color w:val="auto"/>
          <w:sz w:val="32"/>
          <w:szCs w:val="40"/>
        </w:rPr>
        <w:t>江西人社一体化综合信息系统</w:t>
      </w:r>
      <w:r>
        <w:rPr>
          <w:rFonts w:hint="eastAsia" w:ascii="宋体" w:hAnsi="宋体" w:eastAsia="仿宋_GB2312" w:cs="仿宋_GB2312"/>
          <w:color w:val="auto"/>
          <w:sz w:val="32"/>
          <w:szCs w:val="40"/>
          <w:lang w:eastAsia="zh-CN"/>
        </w:rPr>
        <w:t>（社银合作收件系统）</w:t>
      </w:r>
      <w:r>
        <w:rPr>
          <w:rFonts w:hint="eastAsia" w:ascii="宋体" w:hAnsi="宋体" w:eastAsia="仿宋_GB2312" w:cs="仿宋_GB2312"/>
          <w:sz w:val="32"/>
          <w:szCs w:val="40"/>
        </w:rPr>
        <w:t>操作</w:t>
      </w:r>
      <w:r>
        <w:rPr>
          <w:rFonts w:hint="eastAsia" w:ascii="宋体" w:hAnsi="宋体" w:eastAsia="仿宋_GB2312" w:cs="仿宋_GB2312"/>
          <w:sz w:val="32"/>
          <w:szCs w:val="40"/>
          <w:lang w:eastAsia="zh-CN"/>
        </w:rPr>
        <w:t>指南</w:t>
      </w:r>
      <w:r>
        <w:rPr>
          <w:rFonts w:hint="eastAsia" w:ascii="宋体" w:hAnsi="宋体" w:eastAsia="仿宋_GB2312" w:cs="仿宋_GB2312"/>
          <w:sz w:val="32"/>
          <w:szCs w:val="40"/>
        </w:rPr>
        <w:t>规范经办社保业务</w:t>
      </w:r>
      <w:r>
        <w:rPr>
          <w:rFonts w:hint="eastAsia" w:ascii="宋体" w:hAnsi="宋体" w:eastAsia="仿宋_GB2312" w:cs="仿宋_GB2312"/>
          <w:sz w:val="32"/>
          <w:szCs w:val="40"/>
          <w:lang w:eastAsia="zh-CN"/>
        </w:rPr>
        <w:t>，</w:t>
      </w:r>
      <w:r>
        <w:rPr>
          <w:rFonts w:hint="eastAsia" w:ascii="宋体" w:hAnsi="宋体" w:eastAsia="仿宋_GB2312" w:cs="仿宋_GB2312"/>
          <w:sz w:val="32"/>
          <w:szCs w:val="40"/>
          <w:lang w:val="en-US" w:eastAsia="zh-CN"/>
        </w:rPr>
        <w:t>遵守首问负责、AB岗、一次性告知、限时办结等工作制度要求</w:t>
      </w:r>
      <w:r>
        <w:rPr>
          <w:rFonts w:hint="eastAsia" w:ascii="宋体" w:hAnsi="宋体" w:eastAsia="仿宋_GB2312" w:cs="仿宋_GB2312"/>
          <w:sz w:val="32"/>
          <w:szCs w:val="40"/>
          <w:lang w:eastAsia="zh-CN"/>
        </w:rPr>
        <w:t>。</w:t>
      </w:r>
      <w:r>
        <w:rPr>
          <w:rFonts w:hint="eastAsia" w:ascii="宋体" w:hAnsi="宋体" w:eastAsia="仿宋_GB2312" w:cs="仿宋_GB2312"/>
          <w:color w:val="auto"/>
          <w:sz w:val="32"/>
          <w:szCs w:val="32"/>
          <w:lang w:val="en-US" w:eastAsia="zh-CN"/>
        </w:rPr>
        <w:t>合作网点经办人员不得以任何理由搁置、推诿、拒绝受理社保业务或擅自缩减业务范围。</w:t>
      </w:r>
      <w:r>
        <w:rPr>
          <w:rFonts w:hint="eastAsia" w:ascii="宋体" w:hAnsi="宋体" w:eastAsia="仿宋_GB2312" w:cs="仿宋_GB2312"/>
          <w:sz w:val="32"/>
          <w:szCs w:val="40"/>
          <w:lang w:val="en-US" w:eastAsia="zh-CN"/>
        </w:rPr>
        <w:t>合作网点经办人员服务过程中应保持仪容仪表端庄、着装整洁大方、举止文明规范、用语礼貌亲切。</w:t>
      </w:r>
    </w:p>
    <w:p w14:paraId="48B48CE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仿宋_GB2312" w:cs="仿宋_GB2312"/>
          <w:color w:val="000000" w:themeColor="text1"/>
          <w:sz w:val="32"/>
          <w:szCs w:val="40"/>
          <w14:textFill>
            <w14:solidFill>
              <w14:schemeClr w14:val="tx1"/>
            </w14:solidFill>
          </w14:textFill>
        </w:rPr>
      </w:pPr>
      <w:r>
        <w:rPr>
          <w:rFonts w:hint="eastAsia" w:ascii="宋体" w:hAnsi="宋体" w:eastAsia="仿宋_GB2312" w:cs="仿宋_GB2312"/>
          <w:b/>
          <w:bCs/>
          <w:sz w:val="32"/>
          <w:szCs w:val="40"/>
        </w:rPr>
        <w:t>第</w:t>
      </w:r>
      <w:r>
        <w:rPr>
          <w:rFonts w:hint="eastAsia" w:ascii="宋体" w:hAnsi="宋体" w:eastAsia="仿宋_GB2312" w:cs="仿宋_GB2312"/>
          <w:b/>
          <w:bCs/>
          <w:sz w:val="32"/>
          <w:szCs w:val="40"/>
          <w:lang w:eastAsia="zh-CN"/>
        </w:rPr>
        <w:t>十九</w:t>
      </w:r>
      <w:r>
        <w:rPr>
          <w:rFonts w:hint="eastAsia" w:ascii="宋体" w:hAnsi="宋体" w:eastAsia="仿宋_GB2312" w:cs="仿宋_GB2312"/>
          <w:b/>
          <w:bCs/>
          <w:sz w:val="32"/>
          <w:szCs w:val="40"/>
        </w:rPr>
        <w:t>条</w:t>
      </w:r>
      <w:r>
        <w:rPr>
          <w:rFonts w:hint="eastAsia" w:ascii="宋体" w:hAnsi="宋体" w:eastAsia="楷体_GB2312" w:cs="楷体_GB2312"/>
          <w:color w:val="000000" w:themeColor="text1"/>
          <w:sz w:val="32"/>
          <w:szCs w:val="40"/>
          <w:lang w:val="en-US" w:eastAsia="zh-CN"/>
          <w14:textFill>
            <w14:solidFill>
              <w14:schemeClr w14:val="tx1"/>
            </w14:solidFill>
          </w14:textFill>
        </w:rPr>
        <w:t xml:space="preserve">  </w:t>
      </w:r>
      <w:r>
        <w:rPr>
          <w:rFonts w:hint="eastAsia" w:ascii="宋体" w:hAnsi="宋体" w:eastAsia="仿宋_GB2312" w:cs="仿宋_GB2312"/>
          <w:color w:val="000000" w:themeColor="text1"/>
          <w:sz w:val="32"/>
          <w:szCs w:val="40"/>
          <w14:textFill>
            <w14:solidFill>
              <w14:schemeClr w14:val="tx1"/>
            </w14:solidFill>
          </w14:textFill>
        </w:rPr>
        <w:t>合作网点经办岗人员系统权限按照</w:t>
      </w:r>
      <w:r>
        <w:rPr>
          <w:rFonts w:hint="eastAsia" w:ascii="宋体" w:hAnsi="宋体" w:eastAsia="仿宋_GB2312" w:cs="仿宋_GB2312"/>
          <w:color w:val="000000" w:themeColor="text1"/>
          <w:sz w:val="32"/>
          <w:szCs w:val="40"/>
          <w:lang w:eastAsia="zh-CN"/>
          <w14:textFill>
            <w14:solidFill>
              <w14:schemeClr w14:val="tx1"/>
            </w14:solidFill>
          </w14:textFill>
        </w:rPr>
        <w:t>社保经办</w:t>
      </w:r>
      <w:r>
        <w:rPr>
          <w:rFonts w:hint="eastAsia" w:ascii="宋体" w:hAnsi="宋体" w:eastAsia="仿宋_GB2312" w:cs="仿宋_GB2312"/>
          <w:color w:val="000000" w:themeColor="text1"/>
          <w:sz w:val="32"/>
          <w:szCs w:val="40"/>
          <w14:textFill>
            <w14:solidFill>
              <w14:schemeClr w14:val="tx1"/>
            </w14:solidFill>
          </w14:textFill>
        </w:rPr>
        <w:t>规定进行管理，申请开通和变更权限的，填报权限申请表并加盖公章，由</w:t>
      </w:r>
      <w:r>
        <w:rPr>
          <w:rFonts w:hint="eastAsia" w:ascii="宋体" w:hAnsi="宋体" w:eastAsia="仿宋_GB2312" w:cs="仿宋_GB2312"/>
          <w:color w:val="000000" w:themeColor="text1"/>
          <w:sz w:val="32"/>
          <w:szCs w:val="40"/>
          <w:lang w:eastAsia="zh-CN"/>
          <w14:textFill>
            <w14:solidFill>
              <w14:schemeClr w14:val="tx1"/>
            </w14:solidFill>
          </w14:textFill>
        </w:rPr>
        <w:t>市县社保经办机构</w:t>
      </w:r>
      <w:r>
        <w:rPr>
          <w:rFonts w:hint="eastAsia" w:ascii="宋体" w:hAnsi="宋体" w:eastAsia="仿宋_GB2312" w:cs="仿宋_GB2312"/>
          <w:color w:val="000000" w:themeColor="text1"/>
          <w:sz w:val="32"/>
          <w:szCs w:val="40"/>
          <w14:textFill>
            <w14:solidFill>
              <w14:schemeClr w14:val="tx1"/>
            </w14:solidFill>
          </w14:textFill>
        </w:rPr>
        <w:t>按规定审核后授权。合作网点经办岗人员离开经办岗位的，合作网点需及时向</w:t>
      </w:r>
      <w:r>
        <w:rPr>
          <w:rFonts w:hint="eastAsia" w:ascii="宋体" w:hAnsi="宋体" w:eastAsia="仿宋_GB2312" w:cs="仿宋_GB2312"/>
          <w:color w:val="000000" w:themeColor="text1"/>
          <w:sz w:val="32"/>
          <w:szCs w:val="40"/>
          <w:lang w:eastAsia="zh-CN"/>
          <w14:textFill>
            <w14:solidFill>
              <w14:schemeClr w14:val="tx1"/>
            </w14:solidFill>
          </w14:textFill>
        </w:rPr>
        <w:t>社保经办机构</w:t>
      </w:r>
      <w:r>
        <w:rPr>
          <w:rFonts w:hint="eastAsia" w:ascii="宋体" w:hAnsi="宋体" w:eastAsia="仿宋_GB2312" w:cs="仿宋_GB2312"/>
          <w:color w:val="000000" w:themeColor="text1"/>
          <w:sz w:val="32"/>
          <w:szCs w:val="40"/>
          <w14:textFill>
            <w14:solidFill>
              <w14:schemeClr w14:val="tx1"/>
            </w14:solidFill>
          </w14:textFill>
        </w:rPr>
        <w:t>申请</w:t>
      </w:r>
      <w:r>
        <w:rPr>
          <w:rFonts w:hint="eastAsia" w:ascii="宋体" w:hAnsi="宋体" w:eastAsia="仿宋_GB2312" w:cs="仿宋_GB2312"/>
          <w:color w:val="000000" w:themeColor="text1"/>
          <w:sz w:val="32"/>
          <w:szCs w:val="40"/>
          <w:lang w:eastAsia="zh-CN"/>
          <w14:textFill>
            <w14:solidFill>
              <w14:schemeClr w14:val="tx1"/>
            </w14:solidFill>
          </w14:textFill>
        </w:rPr>
        <w:t>删除</w:t>
      </w:r>
      <w:r>
        <w:rPr>
          <w:rFonts w:hint="eastAsia" w:ascii="宋体" w:hAnsi="宋体" w:eastAsia="仿宋_GB2312" w:cs="仿宋_GB2312"/>
          <w:color w:val="000000" w:themeColor="text1"/>
          <w:sz w:val="32"/>
          <w:szCs w:val="40"/>
          <w14:textFill>
            <w14:solidFill>
              <w14:schemeClr w14:val="tx1"/>
            </w14:solidFill>
          </w14:textFill>
        </w:rPr>
        <w:t>其经办权限并停止经办账号的使用。</w:t>
      </w:r>
      <w:r>
        <w:rPr>
          <w:rFonts w:hint="eastAsia" w:ascii="宋体" w:hAnsi="宋体" w:eastAsia="仿宋_GB2312" w:cs="仿宋_GB2312"/>
          <w:color w:val="000000" w:themeColor="text1"/>
          <w:sz w:val="32"/>
          <w:szCs w:val="40"/>
          <w:lang w:eastAsia="zh-CN"/>
          <w14:textFill>
            <w14:solidFill>
              <w14:schemeClr w14:val="tx1"/>
            </w14:solidFill>
          </w14:textFill>
        </w:rPr>
        <w:t>市县社保经办机构</w:t>
      </w:r>
      <w:r>
        <w:rPr>
          <w:rFonts w:hint="eastAsia" w:ascii="宋体" w:hAnsi="宋体" w:eastAsia="仿宋_GB2312" w:cs="仿宋_GB2312"/>
          <w:color w:val="000000" w:themeColor="text1"/>
          <w:sz w:val="32"/>
          <w:szCs w:val="40"/>
          <w14:textFill>
            <w14:solidFill>
              <w14:schemeClr w14:val="tx1"/>
            </w14:solidFill>
          </w14:textFill>
        </w:rPr>
        <w:t>定期对合作网点经办岗人员账户和权限的使用情况进行检查，对连续三个月未登录的账户按程序注销或冻结相应权限。</w:t>
      </w:r>
    </w:p>
    <w:p w14:paraId="1712A42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仿宋_GB2312" w:cs="仿宋_GB2312"/>
          <w:color w:val="000000" w:themeColor="text1"/>
          <w:sz w:val="32"/>
          <w:szCs w:val="40"/>
          <w14:textFill>
            <w14:solidFill>
              <w14:schemeClr w14:val="tx1"/>
            </w14:solidFill>
          </w14:textFill>
        </w:rPr>
      </w:pPr>
      <w:r>
        <w:rPr>
          <w:rFonts w:hint="eastAsia" w:ascii="宋体" w:hAnsi="宋体" w:eastAsia="仿宋_GB2312" w:cs="仿宋_GB2312"/>
          <w:b/>
          <w:bCs/>
          <w:sz w:val="32"/>
          <w:szCs w:val="40"/>
        </w:rPr>
        <w:t>第</w:t>
      </w:r>
      <w:r>
        <w:rPr>
          <w:rFonts w:hint="eastAsia" w:ascii="宋体" w:hAnsi="宋体" w:eastAsia="仿宋_GB2312" w:cs="仿宋_GB2312"/>
          <w:b/>
          <w:bCs/>
          <w:sz w:val="32"/>
          <w:szCs w:val="40"/>
          <w:lang w:eastAsia="zh-CN"/>
        </w:rPr>
        <w:t>二十</w:t>
      </w:r>
      <w:r>
        <w:rPr>
          <w:rFonts w:hint="eastAsia" w:ascii="宋体" w:hAnsi="宋体" w:eastAsia="仿宋_GB2312" w:cs="仿宋_GB2312"/>
          <w:b/>
          <w:bCs/>
          <w:sz w:val="32"/>
          <w:szCs w:val="40"/>
        </w:rPr>
        <w:t>条</w:t>
      </w:r>
      <w:r>
        <w:rPr>
          <w:rFonts w:hint="eastAsia" w:ascii="宋体" w:hAnsi="宋体" w:eastAsia="仿宋_GB2312" w:cs="仿宋_GB2312"/>
          <w:b/>
          <w:bCs/>
          <w:sz w:val="32"/>
          <w:szCs w:val="40"/>
          <w:lang w:val="en-US" w:eastAsia="zh-CN"/>
        </w:rPr>
        <w:t xml:space="preserve"> </w:t>
      </w:r>
      <w:r>
        <w:rPr>
          <w:rFonts w:hint="eastAsia" w:ascii="宋体" w:hAnsi="宋体" w:eastAsia="仿宋_GB2312" w:cs="仿宋_GB2312"/>
          <w:color w:val="000000" w:themeColor="text1"/>
          <w:sz w:val="32"/>
          <w:szCs w:val="40"/>
          <w:lang w:val="en-US" w:eastAsia="zh-CN"/>
          <w14:textFill>
            <w14:solidFill>
              <w14:schemeClr w14:val="tx1"/>
            </w14:solidFill>
          </w14:textFill>
        </w:rPr>
        <w:t xml:space="preserve"> </w:t>
      </w:r>
      <w:r>
        <w:rPr>
          <w:rFonts w:hint="eastAsia" w:ascii="宋体" w:hAnsi="宋体" w:eastAsia="仿宋_GB2312" w:cs="仿宋_GB2312"/>
          <w:color w:val="000000" w:themeColor="text1"/>
          <w:sz w:val="32"/>
          <w:szCs w:val="40"/>
          <w14:textFill>
            <w14:solidFill>
              <w14:schemeClr w14:val="tx1"/>
            </w14:solidFill>
          </w14:textFill>
        </w:rPr>
        <w:t>社保经办机构与合作银行应按以下要求做好业务材料管理：</w:t>
      </w:r>
    </w:p>
    <w:p w14:paraId="69FE318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仿宋_GB2312"/>
          <w:color w:val="000000" w:themeColor="text1"/>
          <w:sz w:val="32"/>
          <w:szCs w:val="40"/>
          <w14:textFill>
            <w14:solidFill>
              <w14:schemeClr w14:val="tx1"/>
            </w14:solidFill>
          </w14:textFill>
        </w:rPr>
      </w:pPr>
      <w:r>
        <w:rPr>
          <w:rFonts w:hint="eastAsia" w:ascii="宋体" w:hAnsi="宋体" w:eastAsia="楷体_GB2312" w:cs="楷体_GB2312"/>
          <w:color w:val="000000" w:themeColor="text1"/>
          <w:sz w:val="32"/>
          <w:szCs w:val="40"/>
          <w14:textFill>
            <w14:solidFill>
              <w14:schemeClr w14:val="tx1"/>
            </w14:solidFill>
          </w14:textFill>
        </w:rPr>
        <w:t>（一）材料整理。</w:t>
      </w:r>
      <w:r>
        <w:rPr>
          <w:rFonts w:hint="eastAsia" w:ascii="宋体" w:hAnsi="宋体" w:eastAsia="仿宋_GB2312" w:cs="仿宋_GB2312"/>
          <w:color w:val="000000" w:themeColor="text1"/>
          <w:sz w:val="32"/>
          <w:szCs w:val="40"/>
          <w14:textFill>
            <w14:solidFill>
              <w14:schemeClr w14:val="tx1"/>
            </w14:solidFill>
          </w14:textFill>
        </w:rPr>
        <w:t>合作银行负责对经办过程中形成的业务材料做好影像化、收集、预整理、统计和移交等工作，社保经办机构负责及时接收，根据社保档案管理规定进行立卷、归档等工作，保证业务档案真实、完整、安全和有效。</w:t>
      </w:r>
    </w:p>
    <w:p w14:paraId="0A03A5E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仿宋_GB2312"/>
          <w:color w:val="000000" w:themeColor="text1"/>
          <w:sz w:val="32"/>
          <w:szCs w:val="40"/>
          <w14:textFill>
            <w14:solidFill>
              <w14:schemeClr w14:val="tx1"/>
            </w14:solidFill>
          </w14:textFill>
        </w:rPr>
      </w:pPr>
      <w:r>
        <w:rPr>
          <w:rFonts w:hint="eastAsia" w:ascii="宋体" w:hAnsi="宋体" w:eastAsia="楷体_GB2312" w:cs="楷体_GB2312"/>
          <w:color w:val="000000" w:themeColor="text1"/>
          <w:sz w:val="32"/>
          <w:szCs w:val="40"/>
          <w14:textFill>
            <w14:solidFill>
              <w14:schemeClr w14:val="tx1"/>
            </w14:solidFill>
          </w14:textFill>
        </w:rPr>
        <w:t>（二）材料封装。</w:t>
      </w:r>
      <w:r>
        <w:rPr>
          <w:rFonts w:hint="eastAsia" w:ascii="宋体" w:hAnsi="宋体" w:eastAsia="仿宋_GB2312" w:cs="仿宋_GB2312"/>
          <w:color w:val="000000" w:themeColor="text1"/>
          <w:sz w:val="32"/>
          <w:szCs w:val="40"/>
          <w14:textFill>
            <w14:solidFill>
              <w14:schemeClr w14:val="tx1"/>
            </w14:solidFill>
          </w14:textFill>
        </w:rPr>
        <w:t>办件业务材料由经办岗人员在监控下或二人在场检查后移交资料岗人员存入资料保管袋，以银行网点为单位进行封签，并填写社保业务受理资料汇总表，按照档案管理规范进行</w:t>
      </w:r>
      <w:r>
        <w:rPr>
          <w:rFonts w:hint="eastAsia" w:ascii="宋体" w:hAnsi="宋体" w:eastAsia="仿宋_GB2312" w:cs="仿宋_GB2312"/>
          <w:color w:val="000000" w:themeColor="text1"/>
          <w:sz w:val="32"/>
          <w:szCs w:val="40"/>
          <w:lang w:eastAsia="zh-CN"/>
          <w14:textFill>
            <w14:solidFill>
              <w14:schemeClr w14:val="tx1"/>
            </w14:solidFill>
          </w14:textFill>
        </w:rPr>
        <w:t>归档</w:t>
      </w:r>
      <w:r>
        <w:rPr>
          <w:rFonts w:hint="eastAsia" w:ascii="宋体" w:hAnsi="宋体" w:eastAsia="仿宋_GB2312" w:cs="仿宋_GB2312"/>
          <w:color w:val="000000" w:themeColor="text1"/>
          <w:sz w:val="32"/>
          <w:szCs w:val="40"/>
          <w14:textFill>
            <w14:solidFill>
              <w14:schemeClr w14:val="tx1"/>
            </w14:solidFill>
          </w14:textFill>
        </w:rPr>
        <w:t>。</w:t>
      </w:r>
    </w:p>
    <w:p w14:paraId="1D24787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仿宋_GB2312"/>
          <w:color w:val="000000" w:themeColor="text1"/>
          <w:sz w:val="32"/>
          <w:szCs w:val="40"/>
          <w14:textFill>
            <w14:solidFill>
              <w14:schemeClr w14:val="tx1"/>
            </w14:solidFill>
          </w14:textFill>
        </w:rPr>
      </w:pPr>
      <w:r>
        <w:rPr>
          <w:rFonts w:hint="eastAsia" w:ascii="宋体" w:hAnsi="宋体" w:eastAsia="楷体_GB2312" w:cs="楷体_GB2312"/>
          <w:color w:val="000000" w:themeColor="text1"/>
          <w:sz w:val="32"/>
          <w:szCs w:val="40"/>
          <w14:textFill>
            <w14:solidFill>
              <w14:schemeClr w14:val="tx1"/>
            </w14:solidFill>
          </w14:textFill>
        </w:rPr>
        <w:t>（</w:t>
      </w:r>
      <w:r>
        <w:rPr>
          <w:rFonts w:hint="eastAsia" w:ascii="宋体" w:hAnsi="宋体" w:eastAsia="楷体_GB2312" w:cs="楷体_GB2312"/>
          <w:color w:val="000000" w:themeColor="text1"/>
          <w:sz w:val="32"/>
          <w:szCs w:val="40"/>
          <w:lang w:eastAsia="zh-CN"/>
          <w14:textFill>
            <w14:solidFill>
              <w14:schemeClr w14:val="tx1"/>
            </w14:solidFill>
          </w14:textFill>
        </w:rPr>
        <w:t>三</w:t>
      </w:r>
      <w:r>
        <w:rPr>
          <w:rFonts w:hint="eastAsia" w:ascii="宋体" w:hAnsi="宋体" w:eastAsia="楷体_GB2312" w:cs="楷体_GB2312"/>
          <w:color w:val="000000" w:themeColor="text1"/>
          <w:sz w:val="32"/>
          <w:szCs w:val="40"/>
          <w14:textFill>
            <w14:solidFill>
              <w14:schemeClr w14:val="tx1"/>
            </w14:solidFill>
          </w14:textFill>
        </w:rPr>
        <w:t>）材料移交。</w:t>
      </w:r>
      <w:r>
        <w:rPr>
          <w:rFonts w:hint="eastAsia" w:ascii="宋体" w:hAnsi="宋体" w:eastAsia="仿宋_GB2312" w:cs="仿宋_GB2312"/>
          <w:color w:val="000000" w:themeColor="text1"/>
          <w:sz w:val="32"/>
          <w:szCs w:val="40"/>
          <w14:textFill>
            <w14:solidFill>
              <w14:schemeClr w14:val="tx1"/>
            </w14:solidFill>
          </w14:textFill>
        </w:rPr>
        <w:t>资料岗人员整理资料保管袋，汇总后与社保经办机构做好交接，材料流转的签收凭证由双方分别归档。</w:t>
      </w:r>
    </w:p>
    <w:p w14:paraId="0ABD21B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仿宋_GB2312" w:cs="仿宋_GB2312"/>
          <w:color w:val="FF0000"/>
          <w:sz w:val="32"/>
          <w:szCs w:val="32"/>
        </w:rPr>
      </w:pPr>
      <w:r>
        <w:rPr>
          <w:rFonts w:hint="eastAsia" w:ascii="宋体" w:hAnsi="宋体" w:eastAsia="仿宋_GB2312" w:cs="仿宋_GB2312"/>
          <w:b/>
          <w:bCs/>
          <w:sz w:val="32"/>
          <w:szCs w:val="40"/>
        </w:rPr>
        <w:t>第</w:t>
      </w:r>
      <w:r>
        <w:rPr>
          <w:rFonts w:hint="eastAsia" w:ascii="宋体" w:hAnsi="宋体" w:eastAsia="仿宋_GB2312" w:cs="仿宋_GB2312"/>
          <w:b/>
          <w:bCs/>
          <w:sz w:val="32"/>
          <w:szCs w:val="40"/>
          <w:lang w:eastAsia="zh-CN"/>
        </w:rPr>
        <w:t>二十一</w:t>
      </w:r>
      <w:r>
        <w:rPr>
          <w:rFonts w:hint="eastAsia" w:ascii="宋体" w:hAnsi="宋体" w:eastAsia="仿宋_GB2312" w:cs="仿宋_GB2312"/>
          <w:b/>
          <w:bCs/>
          <w:sz w:val="32"/>
          <w:szCs w:val="40"/>
        </w:rPr>
        <w:t>条</w:t>
      </w:r>
      <w:r>
        <w:rPr>
          <w:rFonts w:hint="eastAsia" w:ascii="宋体" w:hAnsi="宋体" w:eastAsia="楷体_GB2312" w:cs="楷体_GB2312"/>
          <w:color w:val="000000" w:themeColor="text1"/>
          <w:sz w:val="32"/>
          <w:szCs w:val="40"/>
          <w:lang w:val="en-US" w:eastAsia="zh-CN"/>
          <w14:textFill>
            <w14:solidFill>
              <w14:schemeClr w14:val="tx1"/>
            </w14:solidFill>
          </w14:textFill>
        </w:rPr>
        <w:t xml:space="preserve">  </w:t>
      </w:r>
      <w:r>
        <w:rPr>
          <w:rFonts w:hint="eastAsia" w:ascii="宋体" w:hAnsi="宋体" w:eastAsia="仿宋_GB2312" w:cs="仿宋_GB2312"/>
          <w:color w:val="auto"/>
          <w:sz w:val="32"/>
          <w:szCs w:val="32"/>
        </w:rPr>
        <w:t>社银合作</w:t>
      </w:r>
      <w:r>
        <w:rPr>
          <w:rFonts w:hint="eastAsia" w:ascii="宋体" w:hAnsi="宋体" w:eastAsia="仿宋_GB2312" w:cs="仿宋_GB2312"/>
          <w:color w:val="auto"/>
          <w:sz w:val="32"/>
          <w:szCs w:val="32"/>
          <w:lang w:eastAsia="zh-CN"/>
        </w:rPr>
        <w:t>双方应成立日常工作管理小组</w:t>
      </w:r>
      <w:r>
        <w:rPr>
          <w:rFonts w:hint="eastAsia" w:ascii="宋体" w:hAnsi="宋体" w:eastAsia="仿宋_GB2312" w:cs="仿宋_GB2312"/>
          <w:color w:val="auto"/>
          <w:sz w:val="32"/>
          <w:szCs w:val="32"/>
        </w:rPr>
        <w:t>，负责人员培训、业务指导、宣传推广、监督评价、统筹协调、技术保障等工作。</w:t>
      </w:r>
      <w:r>
        <w:rPr>
          <w:rFonts w:hint="eastAsia" w:ascii="宋体" w:hAnsi="宋体" w:eastAsia="仿宋_GB2312" w:cs="仿宋_GB2312"/>
          <w:color w:val="auto"/>
          <w:sz w:val="32"/>
          <w:szCs w:val="40"/>
          <w:lang w:eastAsia="zh-CN"/>
        </w:rPr>
        <w:t>社会保险经办机构</w:t>
      </w:r>
      <w:r>
        <w:rPr>
          <w:rFonts w:hint="eastAsia" w:ascii="宋体" w:hAnsi="宋体" w:eastAsia="仿宋_GB2312" w:cs="仿宋_GB2312"/>
          <w:color w:val="auto"/>
          <w:kern w:val="2"/>
          <w:sz w:val="32"/>
          <w:szCs w:val="32"/>
          <w:lang w:val="en-US" w:eastAsia="zh-CN" w:bidi="ar-SA"/>
        </w:rPr>
        <w:t>视情况召开联席会议，共同研究协商</w:t>
      </w:r>
      <w:r>
        <w:rPr>
          <w:rFonts w:hint="eastAsia" w:ascii="宋体" w:hAnsi="宋体" w:eastAsia="仿宋_GB2312" w:cs="仿宋_GB2312"/>
          <w:color w:val="auto"/>
          <w:kern w:val="2"/>
          <w:sz w:val="32"/>
          <w:szCs w:val="32"/>
          <w:highlight w:val="none"/>
          <w:lang w:val="en-US" w:eastAsia="zh-CN" w:bidi="ar-SA"/>
        </w:rPr>
        <w:t>推进我市社银合作相关措施、确定合作事项清单、制定</w:t>
      </w:r>
      <w:r>
        <w:rPr>
          <w:rFonts w:hint="eastAsia" w:ascii="宋体" w:hAnsi="宋体" w:eastAsia="仿宋_GB2312" w:cs="仿宋_GB2312"/>
          <w:b w:val="0"/>
          <w:bCs w:val="0"/>
          <w:color w:val="auto"/>
          <w:sz w:val="32"/>
          <w:szCs w:val="32"/>
          <w:highlight w:val="none"/>
          <w:lang w:val="en-US" w:eastAsia="zh-CN"/>
        </w:rPr>
        <w:t>合作网点考核评价标准等事项，以及</w:t>
      </w:r>
      <w:r>
        <w:rPr>
          <w:rFonts w:hint="eastAsia" w:ascii="宋体" w:hAnsi="宋体" w:eastAsia="仿宋_GB2312" w:cs="仿宋_GB2312"/>
          <w:color w:val="auto"/>
          <w:kern w:val="2"/>
          <w:sz w:val="32"/>
          <w:szCs w:val="32"/>
          <w:highlight w:val="none"/>
          <w:lang w:val="en-US" w:eastAsia="zh-CN" w:bidi="ar-SA"/>
        </w:rPr>
        <w:t>处理</w:t>
      </w:r>
      <w:r>
        <w:rPr>
          <w:rFonts w:hint="eastAsia" w:ascii="宋体" w:hAnsi="宋体" w:eastAsia="仿宋_GB2312" w:cs="仿宋_GB2312"/>
          <w:color w:val="auto"/>
          <w:kern w:val="2"/>
          <w:sz w:val="32"/>
          <w:szCs w:val="32"/>
          <w:lang w:val="en-US" w:eastAsia="zh-CN" w:bidi="ar-SA"/>
        </w:rPr>
        <w:t>合作</w:t>
      </w:r>
      <w:r>
        <w:rPr>
          <w:rFonts w:hint="eastAsia" w:ascii="宋体" w:hAnsi="宋体" w:eastAsia="仿宋_GB2312" w:cs="仿宋_GB2312"/>
          <w:color w:val="auto"/>
          <w:kern w:val="2"/>
          <w:sz w:val="32"/>
          <w:szCs w:val="32"/>
          <w:highlight w:val="none"/>
          <w:lang w:val="en-US" w:eastAsia="zh-CN" w:bidi="ar-SA"/>
        </w:rPr>
        <w:t>过程中遇到的重大问题</w:t>
      </w:r>
      <w:r>
        <w:rPr>
          <w:rFonts w:hint="eastAsia" w:ascii="宋体" w:hAnsi="宋体" w:eastAsia="仿宋_GB2312" w:cs="仿宋_GB2312"/>
          <w:b w:val="0"/>
          <w:bCs w:val="0"/>
          <w:color w:val="auto"/>
          <w:sz w:val="32"/>
          <w:szCs w:val="32"/>
          <w:lang w:eastAsia="zh-CN"/>
        </w:rPr>
        <w:t>、</w:t>
      </w:r>
      <w:r>
        <w:rPr>
          <w:rFonts w:hint="eastAsia" w:ascii="宋体" w:hAnsi="宋体" w:eastAsia="仿宋_GB2312" w:cs="仿宋_GB2312"/>
          <w:b w:val="0"/>
          <w:bCs w:val="0"/>
          <w:color w:val="auto"/>
          <w:sz w:val="32"/>
          <w:szCs w:val="32"/>
          <w:highlight w:val="none"/>
          <w:lang w:val="en-US" w:eastAsia="zh-CN"/>
        </w:rPr>
        <w:t>双方履行协议中的争议问题等。</w:t>
      </w:r>
    </w:p>
    <w:p w14:paraId="37DDD74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仿宋_GB2312"/>
          <w:color w:val="auto"/>
          <w:sz w:val="32"/>
          <w:szCs w:val="32"/>
        </w:rPr>
      </w:pPr>
    </w:p>
    <w:p w14:paraId="4CDEA07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宋体" w:hAnsi="宋体" w:eastAsia="黑体" w:cs="黑体"/>
          <w:b w:val="0"/>
          <w:bCs w:val="0"/>
          <w:color w:val="auto"/>
          <w:sz w:val="32"/>
          <w:szCs w:val="32"/>
          <w:highlight w:val="none"/>
          <w:lang w:val="en-US" w:eastAsia="zh-CN"/>
        </w:rPr>
      </w:pPr>
      <w:r>
        <w:rPr>
          <w:rFonts w:hint="eastAsia" w:ascii="宋体" w:hAnsi="宋体" w:eastAsia="黑体" w:cs="黑体"/>
          <w:b w:val="0"/>
          <w:bCs w:val="0"/>
          <w:color w:val="auto"/>
          <w:sz w:val="32"/>
          <w:szCs w:val="32"/>
          <w:highlight w:val="none"/>
          <w:lang w:val="en-US" w:eastAsia="zh-CN"/>
        </w:rPr>
        <w:t>第五章  安全要求</w:t>
      </w:r>
    </w:p>
    <w:p w14:paraId="2AC8F97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仿宋_GB2312" w:cs="仿宋_GB2312"/>
          <w:color w:val="auto"/>
          <w:kern w:val="2"/>
          <w:sz w:val="32"/>
          <w:szCs w:val="32"/>
          <w:lang w:val="en-US" w:eastAsia="zh-CN" w:bidi="ar-SA"/>
        </w:rPr>
      </w:pPr>
      <w:r>
        <w:rPr>
          <w:rFonts w:hint="eastAsia" w:ascii="宋体" w:hAnsi="宋体" w:eastAsia="仿宋_GB2312" w:cs="仿宋_GB2312"/>
          <w:b/>
          <w:bCs/>
          <w:sz w:val="32"/>
          <w:szCs w:val="40"/>
          <w:lang w:val="en-US" w:eastAsia="zh-CN"/>
        </w:rPr>
        <w:t>第二十二条</w:t>
      </w:r>
      <w:r>
        <w:rPr>
          <w:rFonts w:hint="eastAsia" w:ascii="宋体" w:hAnsi="宋体" w:eastAsia="仿宋_GB2312" w:cs="仿宋_GB2312"/>
          <w:color w:val="auto"/>
          <w:kern w:val="2"/>
          <w:sz w:val="32"/>
          <w:szCs w:val="32"/>
          <w:lang w:val="en-US" w:eastAsia="zh-CN" w:bidi="ar-SA"/>
        </w:rPr>
        <w:t xml:space="preserve">  社银合作双方实现总对总专线网络连通，按照国家相关法律法规保障网络传输安全。定期检查网络安全设备和终端设备运行情况，定期对网络和终端日志进行审计，确保设备运行稳定，排除安全隐患；做好业务经办终端的使用管控，业务经办终端不得接入互联网，不得接入有安全隐患的应用系统，严禁使用未经安全认证的外接存储设备。</w:t>
      </w:r>
    </w:p>
    <w:p w14:paraId="41A049C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仿宋_GB2312" w:cs="仿宋_GB2312"/>
          <w:color w:val="auto"/>
          <w:sz w:val="32"/>
          <w:szCs w:val="32"/>
          <w:lang w:val="en-US" w:eastAsia="zh-CN"/>
        </w:rPr>
      </w:pPr>
      <w:r>
        <w:rPr>
          <w:rFonts w:hint="eastAsia" w:ascii="宋体" w:hAnsi="宋体" w:eastAsia="仿宋_GB2312" w:cs="仿宋_GB2312"/>
          <w:b/>
          <w:bCs/>
          <w:sz w:val="32"/>
          <w:szCs w:val="40"/>
          <w:lang w:val="en-US" w:eastAsia="zh-CN"/>
        </w:rPr>
        <w:t>第二十三条</w:t>
      </w:r>
      <w:r>
        <w:rPr>
          <w:rFonts w:hint="eastAsia" w:ascii="宋体" w:hAnsi="宋体" w:eastAsia="仿宋_GB2312" w:cs="仿宋_GB2312"/>
          <w:color w:val="auto"/>
          <w:kern w:val="2"/>
          <w:sz w:val="32"/>
          <w:szCs w:val="32"/>
          <w:lang w:val="en-US" w:eastAsia="zh-CN" w:bidi="ar-SA"/>
        </w:rPr>
        <w:t xml:space="preserve">  合作银行应与社保经办机构签订信息保密协议，对工作人员进行保密、安全教育，要求工作人员签订保密承诺书，履行保密义务。</w:t>
      </w:r>
      <w:r>
        <w:rPr>
          <w:rFonts w:hint="eastAsia" w:ascii="宋体" w:hAnsi="宋体" w:eastAsia="仿宋_GB2312" w:cs="仿宋_GB2312"/>
          <w:sz w:val="32"/>
          <w:szCs w:val="40"/>
        </w:rPr>
        <w:t>严禁</w:t>
      </w:r>
      <w:r>
        <w:rPr>
          <w:rFonts w:hint="eastAsia" w:ascii="宋体" w:hAnsi="宋体" w:eastAsia="仿宋_GB2312" w:cs="仿宋_GB2312"/>
          <w:sz w:val="32"/>
          <w:szCs w:val="40"/>
          <w:lang w:eastAsia="zh-CN"/>
        </w:rPr>
        <w:t>经办人员</w:t>
      </w:r>
      <w:r>
        <w:rPr>
          <w:rFonts w:hint="eastAsia" w:ascii="宋体" w:hAnsi="宋体" w:eastAsia="仿宋_GB2312" w:cs="仿宋_GB2312"/>
          <w:sz w:val="32"/>
          <w:szCs w:val="40"/>
          <w:lang w:val="en-US" w:eastAsia="zh-CN"/>
        </w:rPr>
        <w:t>业务系统</w:t>
      </w:r>
      <w:r>
        <w:rPr>
          <w:rFonts w:hint="eastAsia" w:ascii="宋体" w:hAnsi="宋体" w:eastAsia="仿宋_GB2312" w:cs="仿宋_GB2312"/>
          <w:sz w:val="32"/>
          <w:szCs w:val="40"/>
        </w:rPr>
        <w:t>账号混用、冒用</w:t>
      </w:r>
      <w:r>
        <w:rPr>
          <w:rFonts w:hint="eastAsia" w:ascii="宋体" w:hAnsi="宋体" w:eastAsia="仿宋_GB2312" w:cs="仿宋_GB2312"/>
          <w:color w:val="auto"/>
          <w:kern w:val="2"/>
          <w:sz w:val="32"/>
          <w:szCs w:val="32"/>
          <w:lang w:val="en-US" w:eastAsia="zh-CN" w:bidi="ar-SA"/>
        </w:rPr>
        <w:t>，保障业务经办合法性和可追溯性。经办人员经办业务时应认真全面审查申请材料，并对业务材料中记载的信息负有保密责任，严禁将涉密文件扫描进系统，</w:t>
      </w:r>
      <w:r>
        <w:rPr>
          <w:rFonts w:hint="default" w:ascii="宋体" w:hAnsi="宋体" w:eastAsia="仿宋_GB2312" w:cs="仿宋_GB2312"/>
          <w:color w:val="auto"/>
          <w:sz w:val="32"/>
          <w:szCs w:val="32"/>
          <w:lang w:val="en-US" w:eastAsia="zh-CN"/>
        </w:rPr>
        <w:t>严禁</w:t>
      </w:r>
      <w:r>
        <w:rPr>
          <w:rFonts w:hint="eastAsia" w:ascii="宋体" w:hAnsi="宋体" w:eastAsia="仿宋_GB2312" w:cs="仿宋_GB2312"/>
          <w:color w:val="auto"/>
          <w:sz w:val="32"/>
          <w:szCs w:val="32"/>
          <w:lang w:val="en-US" w:eastAsia="zh-CN"/>
        </w:rPr>
        <w:t>向无关人员</w:t>
      </w:r>
      <w:r>
        <w:rPr>
          <w:rFonts w:hint="default" w:ascii="宋体" w:hAnsi="宋体" w:eastAsia="仿宋_GB2312" w:cs="仿宋_GB2312"/>
          <w:color w:val="auto"/>
          <w:sz w:val="32"/>
          <w:szCs w:val="32"/>
          <w:lang w:val="en-US" w:eastAsia="zh-CN"/>
        </w:rPr>
        <w:t>泄露</w:t>
      </w:r>
      <w:r>
        <w:rPr>
          <w:rFonts w:hint="eastAsia" w:ascii="宋体" w:hAnsi="宋体" w:eastAsia="仿宋_GB2312" w:cs="仿宋_GB2312"/>
          <w:color w:val="auto"/>
          <w:sz w:val="32"/>
          <w:szCs w:val="32"/>
          <w:lang w:val="en-US" w:eastAsia="zh-CN"/>
        </w:rPr>
        <w:t>社保数据等隐私信息。</w:t>
      </w:r>
    </w:p>
    <w:p w14:paraId="3CE7725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仿宋_GB2312" w:cs="仿宋_GB2312"/>
          <w:color w:val="FF0000"/>
          <w:sz w:val="32"/>
          <w:szCs w:val="32"/>
        </w:rPr>
      </w:pPr>
      <w:r>
        <w:rPr>
          <w:rFonts w:hint="eastAsia" w:ascii="宋体" w:hAnsi="宋体" w:eastAsia="仿宋_GB2312" w:cs="仿宋_GB2312"/>
          <w:b/>
          <w:bCs/>
          <w:sz w:val="32"/>
          <w:szCs w:val="40"/>
          <w:lang w:val="en-US" w:eastAsia="zh-CN"/>
        </w:rPr>
        <w:t xml:space="preserve">第二十四条 </w:t>
      </w:r>
      <w:r>
        <w:rPr>
          <w:rFonts w:hint="eastAsia" w:ascii="宋体" w:hAnsi="宋体" w:eastAsia="楷体_GB2312" w:cs="楷体_GB2312"/>
          <w:color w:val="auto"/>
          <w:kern w:val="2"/>
          <w:sz w:val="32"/>
          <w:szCs w:val="32"/>
          <w:lang w:val="en-US" w:eastAsia="zh-CN" w:bidi="ar-SA"/>
        </w:rPr>
        <w:t xml:space="preserve"> </w:t>
      </w:r>
      <w:r>
        <w:rPr>
          <w:rFonts w:hint="eastAsia" w:ascii="宋体" w:hAnsi="宋体" w:eastAsia="仿宋_GB2312" w:cs="仿宋_GB2312"/>
          <w:color w:val="auto"/>
          <w:kern w:val="2"/>
          <w:sz w:val="32"/>
          <w:szCs w:val="32"/>
          <w:lang w:val="en-US" w:eastAsia="zh-CN" w:bidi="ar-SA"/>
        </w:rPr>
        <w:t>社保经办机构</w:t>
      </w:r>
      <w:r>
        <w:rPr>
          <w:rFonts w:hint="eastAsia" w:ascii="宋体" w:hAnsi="宋体" w:eastAsia="仿宋_GB2312" w:cs="仿宋_GB2312"/>
          <w:color w:val="auto"/>
          <w:sz w:val="32"/>
          <w:szCs w:val="32"/>
          <w:lang w:val="en-US" w:eastAsia="zh-CN"/>
        </w:rPr>
        <w:t>与合作银行应共同制定涵盖社保数据泄露、设备感染病毒等安全事件的应急处置预案，要求银行网点发现安全事件后立即采取补救措施，并同步报告</w:t>
      </w:r>
      <w:r>
        <w:rPr>
          <w:rFonts w:hint="eastAsia" w:ascii="宋体" w:hAnsi="宋体" w:eastAsia="仿宋_GB2312" w:cs="仿宋_GB2312"/>
          <w:color w:val="auto"/>
          <w:kern w:val="2"/>
          <w:sz w:val="32"/>
          <w:szCs w:val="32"/>
          <w:lang w:val="en-US" w:eastAsia="zh-CN" w:bidi="ar-SA"/>
        </w:rPr>
        <w:t>社保经办机构</w:t>
      </w:r>
      <w:r>
        <w:rPr>
          <w:rFonts w:hint="eastAsia" w:ascii="宋体" w:hAnsi="宋体" w:eastAsia="仿宋_GB2312" w:cs="仿宋_GB2312"/>
          <w:color w:val="auto"/>
          <w:sz w:val="32"/>
          <w:szCs w:val="32"/>
          <w:lang w:val="en-US" w:eastAsia="zh-CN"/>
        </w:rPr>
        <w:t>，协同开展处置工作，降低事件影响。</w:t>
      </w:r>
      <w:r>
        <w:rPr>
          <w:rFonts w:hint="eastAsia" w:ascii="宋体" w:hAnsi="宋体" w:eastAsia="仿宋_GB2312" w:cs="仿宋_GB2312"/>
          <w:sz w:val="32"/>
          <w:szCs w:val="32"/>
        </w:rPr>
        <w:t>因合作银行原因造成业务档案缺失、数据泄露或被窃取篡改，违反规定造成</w:t>
      </w:r>
      <w:r>
        <w:rPr>
          <w:rFonts w:hint="eastAsia" w:ascii="宋体" w:hAnsi="宋体" w:eastAsia="仿宋_GB2312" w:cs="仿宋_GB2312"/>
          <w:sz w:val="32"/>
          <w:szCs w:val="32"/>
          <w:lang w:eastAsia="zh-CN"/>
        </w:rPr>
        <w:t>信息</w:t>
      </w:r>
      <w:r>
        <w:rPr>
          <w:rFonts w:hint="eastAsia" w:ascii="宋体" w:hAnsi="宋体" w:eastAsia="仿宋_GB2312" w:cs="仿宋_GB2312"/>
          <w:sz w:val="32"/>
          <w:szCs w:val="32"/>
        </w:rPr>
        <w:t>安全事故或其他责任事故的，对</w:t>
      </w:r>
      <w:r>
        <w:rPr>
          <w:rFonts w:hint="eastAsia" w:ascii="宋体" w:hAnsi="宋体" w:eastAsia="仿宋_GB2312" w:cs="仿宋_GB2312"/>
          <w:sz w:val="32"/>
          <w:szCs w:val="32"/>
          <w:lang w:eastAsia="zh-CN"/>
        </w:rPr>
        <w:t>相关人员</w:t>
      </w:r>
      <w:r>
        <w:rPr>
          <w:rFonts w:hint="eastAsia" w:ascii="宋体" w:hAnsi="宋体" w:eastAsia="仿宋_GB2312" w:cs="仿宋_GB2312"/>
          <w:sz w:val="32"/>
          <w:szCs w:val="32"/>
        </w:rPr>
        <w:t>依法依规进行</w:t>
      </w:r>
      <w:r>
        <w:rPr>
          <w:rFonts w:hint="eastAsia" w:ascii="宋体" w:hAnsi="宋体" w:eastAsia="仿宋_GB2312" w:cs="仿宋_GB2312"/>
          <w:sz w:val="32"/>
          <w:szCs w:val="32"/>
          <w:lang w:eastAsia="zh-CN"/>
        </w:rPr>
        <w:t>责任</w:t>
      </w:r>
      <w:r>
        <w:rPr>
          <w:rFonts w:hint="eastAsia" w:ascii="宋体" w:hAnsi="宋体" w:eastAsia="仿宋_GB2312" w:cs="仿宋_GB2312"/>
          <w:sz w:val="32"/>
          <w:szCs w:val="32"/>
        </w:rPr>
        <w:t>追究。因合作银行故意或重大过失造成行政相对人合法权益受损的，社保经办机构依法承担赔偿责任后，有权向合作银行追偿。</w:t>
      </w:r>
    </w:p>
    <w:p w14:paraId="13787923">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宋体" w:hAnsi="宋体" w:eastAsia="黑体" w:cs="黑体"/>
          <w:color w:val="auto"/>
          <w:sz w:val="32"/>
          <w:szCs w:val="32"/>
        </w:rPr>
      </w:pPr>
    </w:p>
    <w:p w14:paraId="6F479AF0">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宋体" w:hAnsi="宋体" w:eastAsia="黑体" w:cs="黑体"/>
          <w:color w:val="auto"/>
          <w:sz w:val="32"/>
          <w:szCs w:val="32"/>
        </w:rPr>
      </w:pPr>
      <w:r>
        <w:rPr>
          <w:rFonts w:hint="eastAsia" w:ascii="宋体" w:hAnsi="宋体" w:eastAsia="黑体" w:cs="黑体"/>
          <w:color w:val="auto"/>
          <w:sz w:val="32"/>
          <w:szCs w:val="32"/>
        </w:rPr>
        <w:t>第</w:t>
      </w:r>
      <w:r>
        <w:rPr>
          <w:rFonts w:hint="eastAsia" w:ascii="宋体" w:hAnsi="宋体" w:eastAsia="黑体" w:cs="黑体"/>
          <w:color w:val="auto"/>
          <w:sz w:val="32"/>
          <w:szCs w:val="32"/>
          <w:lang w:eastAsia="zh-CN"/>
        </w:rPr>
        <w:t>六</w:t>
      </w:r>
      <w:r>
        <w:rPr>
          <w:rFonts w:hint="eastAsia" w:ascii="宋体" w:hAnsi="宋体" w:eastAsia="黑体" w:cs="黑体"/>
          <w:color w:val="auto"/>
          <w:sz w:val="32"/>
          <w:szCs w:val="32"/>
        </w:rPr>
        <w:t xml:space="preserve">章 </w:t>
      </w:r>
      <w:r>
        <w:rPr>
          <w:rFonts w:hint="eastAsia" w:ascii="宋体" w:hAnsi="宋体" w:eastAsia="黑体" w:cs="黑体"/>
          <w:color w:val="auto"/>
          <w:sz w:val="32"/>
          <w:szCs w:val="32"/>
          <w:lang w:val="en-US" w:eastAsia="zh-CN"/>
        </w:rPr>
        <w:t xml:space="preserve"> </w:t>
      </w:r>
      <w:r>
        <w:rPr>
          <w:rFonts w:hint="eastAsia" w:ascii="宋体" w:hAnsi="宋体" w:eastAsia="黑体" w:cs="黑体"/>
          <w:color w:val="auto"/>
          <w:sz w:val="32"/>
          <w:szCs w:val="32"/>
        </w:rPr>
        <w:t>监督评价</w:t>
      </w:r>
    </w:p>
    <w:p w14:paraId="39602BB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宋体" w:hAnsi="宋体" w:eastAsia="仿宋_GB2312" w:cs="仿宋_GB2312"/>
          <w:color w:val="auto"/>
          <w:sz w:val="32"/>
          <w:szCs w:val="32"/>
        </w:rPr>
      </w:pPr>
      <w:r>
        <w:rPr>
          <w:rFonts w:hint="eastAsia" w:ascii="宋体" w:hAnsi="宋体" w:eastAsia="仿宋_GB2312" w:cs="仿宋_GB2312"/>
          <w:b/>
          <w:bCs/>
          <w:sz w:val="32"/>
          <w:szCs w:val="40"/>
        </w:rPr>
        <w:t>第</w:t>
      </w:r>
      <w:r>
        <w:rPr>
          <w:rFonts w:hint="eastAsia" w:ascii="宋体" w:hAnsi="宋体" w:eastAsia="仿宋_GB2312" w:cs="仿宋_GB2312"/>
          <w:b/>
          <w:bCs/>
          <w:sz w:val="32"/>
          <w:szCs w:val="40"/>
          <w:lang w:eastAsia="zh-CN"/>
        </w:rPr>
        <w:t>二十五</w:t>
      </w:r>
      <w:r>
        <w:rPr>
          <w:rFonts w:hint="eastAsia" w:ascii="宋体" w:hAnsi="宋体" w:eastAsia="仿宋_GB2312" w:cs="仿宋_GB2312"/>
          <w:b/>
          <w:bCs/>
          <w:sz w:val="32"/>
          <w:szCs w:val="40"/>
        </w:rPr>
        <w:t>条</w:t>
      </w:r>
      <w:r>
        <w:rPr>
          <w:rFonts w:hint="eastAsia" w:ascii="宋体" w:hAnsi="宋体" w:eastAsia="仿宋_GB2312" w:cs="仿宋_GB2312"/>
          <w:b/>
          <w:bCs/>
          <w:sz w:val="32"/>
          <w:szCs w:val="40"/>
          <w:lang w:val="en-US" w:eastAsia="zh-CN"/>
        </w:rPr>
        <w:t xml:space="preserve"> </w:t>
      </w:r>
      <w:r>
        <w:rPr>
          <w:rFonts w:hint="eastAsia" w:ascii="宋体" w:hAnsi="宋体" w:eastAsia="仿宋_GB2312" w:cs="仿宋_GB2312"/>
          <w:color w:val="auto"/>
          <w:sz w:val="32"/>
          <w:szCs w:val="32"/>
        </w:rPr>
        <w:t xml:space="preserve"> 合作银行应建立</w:t>
      </w:r>
      <w:r>
        <w:rPr>
          <w:rFonts w:hint="eastAsia" w:ascii="宋体" w:hAnsi="宋体" w:eastAsia="仿宋_GB2312" w:cs="仿宋_GB2312"/>
          <w:color w:val="auto"/>
          <w:sz w:val="32"/>
          <w:szCs w:val="32"/>
          <w:lang w:eastAsia="zh-CN"/>
        </w:rPr>
        <w:t>内控</w:t>
      </w:r>
      <w:r>
        <w:rPr>
          <w:rFonts w:hint="eastAsia" w:ascii="宋体" w:hAnsi="宋体" w:eastAsia="仿宋_GB2312" w:cs="仿宋_GB2312"/>
          <w:color w:val="auto"/>
          <w:sz w:val="32"/>
          <w:szCs w:val="32"/>
        </w:rPr>
        <w:t>监督制度，将社保业务纳入行内日常业务管理，并定期</w:t>
      </w:r>
      <w:r>
        <w:rPr>
          <w:rFonts w:hint="eastAsia" w:ascii="宋体" w:hAnsi="宋体" w:eastAsia="仿宋_GB2312" w:cs="仿宋_GB2312"/>
          <w:color w:val="auto"/>
          <w:sz w:val="32"/>
          <w:szCs w:val="32"/>
          <w:lang w:eastAsia="zh-CN"/>
        </w:rPr>
        <w:t>或</w:t>
      </w:r>
      <w:r>
        <w:rPr>
          <w:rFonts w:hint="eastAsia" w:ascii="宋体" w:hAnsi="宋体" w:eastAsia="仿宋_GB2312" w:cs="仿宋_GB2312"/>
          <w:color w:val="auto"/>
          <w:sz w:val="32"/>
          <w:szCs w:val="32"/>
        </w:rPr>
        <w:t>不定期对网点社保经办业务和服务活动进行监督检查。</w:t>
      </w:r>
      <w:r>
        <w:rPr>
          <w:rFonts w:hint="eastAsia" w:ascii="宋体" w:hAnsi="宋体" w:eastAsia="仿宋_GB2312" w:cs="仿宋_GB2312"/>
          <w:color w:val="auto"/>
          <w:sz w:val="32"/>
          <w:szCs w:val="32"/>
          <w:lang w:eastAsia="zh-CN"/>
        </w:rPr>
        <w:t>同时</w:t>
      </w:r>
      <w:r>
        <w:rPr>
          <w:rFonts w:hint="eastAsia" w:ascii="宋体" w:hAnsi="宋体" w:eastAsia="仿宋_GB2312" w:cs="仿宋_GB2312"/>
          <w:color w:val="auto"/>
          <w:sz w:val="32"/>
          <w:szCs w:val="32"/>
        </w:rPr>
        <w:t>应建立业务投诉渠道，接受办事人监督，并及时回复、回访。</w:t>
      </w:r>
    </w:p>
    <w:p w14:paraId="6253A8D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宋体" w:hAnsi="宋体" w:eastAsia="仿宋_GB2312" w:cs="仿宋_GB2312"/>
          <w:color w:val="auto"/>
          <w:sz w:val="32"/>
          <w:szCs w:val="32"/>
        </w:rPr>
      </w:pPr>
      <w:r>
        <w:rPr>
          <w:rFonts w:hint="eastAsia" w:ascii="宋体" w:hAnsi="宋体" w:eastAsia="仿宋_GB2312" w:cs="仿宋_GB2312"/>
          <w:b/>
          <w:bCs/>
          <w:sz w:val="32"/>
          <w:szCs w:val="40"/>
          <w:lang w:eastAsia="zh-CN"/>
        </w:rPr>
        <w:t>第二十六条</w:t>
      </w:r>
      <w:r>
        <w:rPr>
          <w:rFonts w:hint="eastAsia" w:ascii="宋体" w:hAnsi="宋体" w:eastAsia="仿宋_GB2312" w:cs="仿宋_GB2312"/>
          <w:b/>
          <w:bCs/>
          <w:sz w:val="32"/>
          <w:szCs w:val="40"/>
          <w:lang w:val="en-US" w:eastAsia="zh-CN"/>
        </w:rPr>
        <w:t xml:space="preserve"> </w:t>
      </w:r>
      <w:r>
        <w:rPr>
          <w:rFonts w:hint="eastAsia" w:ascii="宋体" w:hAnsi="宋体" w:eastAsia="仿宋_GB2312" w:cs="仿宋_GB2312"/>
          <w:color w:val="auto"/>
          <w:sz w:val="32"/>
          <w:szCs w:val="32"/>
          <w:lang w:val="en-US" w:eastAsia="zh-CN"/>
        </w:rPr>
        <w:t xml:space="preserve"> </w:t>
      </w:r>
      <w:r>
        <w:rPr>
          <w:rFonts w:hint="eastAsia" w:ascii="宋体" w:hAnsi="宋体" w:eastAsia="仿宋_GB2312" w:cs="仿宋_GB2312"/>
          <w:color w:val="auto"/>
          <w:sz w:val="32"/>
          <w:szCs w:val="32"/>
        </w:rPr>
        <w:t>社保经办机构应组织人员对合作银行经办社保业务开展日常监督、暗访检查和</w:t>
      </w:r>
      <w:r>
        <w:rPr>
          <w:rFonts w:hint="eastAsia" w:ascii="宋体" w:hAnsi="宋体" w:eastAsia="仿宋_GB2312" w:cs="仿宋_GB2312"/>
          <w:color w:val="auto"/>
          <w:sz w:val="32"/>
          <w:szCs w:val="32"/>
          <w:lang w:eastAsia="zh-CN"/>
        </w:rPr>
        <w:t>年度</w:t>
      </w:r>
      <w:r>
        <w:rPr>
          <w:rFonts w:hint="eastAsia" w:ascii="宋体" w:hAnsi="宋体" w:eastAsia="仿宋_GB2312" w:cs="仿宋_GB2312"/>
          <w:color w:val="auto"/>
          <w:sz w:val="32"/>
          <w:szCs w:val="32"/>
        </w:rPr>
        <w:t>专项检查等监督检查活动，监督检查内容应包括服务环境、服务</w:t>
      </w:r>
      <w:r>
        <w:rPr>
          <w:rFonts w:hint="eastAsia" w:ascii="宋体" w:hAnsi="宋体" w:eastAsia="仿宋_GB2312" w:cs="仿宋_GB2312"/>
          <w:color w:val="auto"/>
          <w:sz w:val="32"/>
          <w:szCs w:val="32"/>
          <w:lang w:eastAsia="zh-CN"/>
        </w:rPr>
        <w:t>质量</w:t>
      </w:r>
      <w:r>
        <w:rPr>
          <w:rFonts w:hint="eastAsia" w:ascii="宋体" w:hAnsi="宋体" w:eastAsia="仿宋_GB2312" w:cs="仿宋_GB2312"/>
          <w:color w:val="auto"/>
          <w:sz w:val="32"/>
          <w:szCs w:val="32"/>
        </w:rPr>
        <w:t>、</w:t>
      </w:r>
      <w:r>
        <w:rPr>
          <w:rFonts w:hint="eastAsia" w:ascii="宋体" w:hAnsi="宋体" w:eastAsia="仿宋_GB2312" w:cs="仿宋_GB2312"/>
          <w:color w:val="auto"/>
          <w:sz w:val="32"/>
          <w:szCs w:val="32"/>
          <w:lang w:eastAsia="zh-CN"/>
        </w:rPr>
        <w:t>业务规范、安全</w:t>
      </w:r>
      <w:r>
        <w:rPr>
          <w:rFonts w:hint="eastAsia" w:ascii="宋体" w:hAnsi="宋体" w:eastAsia="仿宋_GB2312" w:cs="仿宋_GB2312"/>
          <w:color w:val="auto"/>
          <w:sz w:val="32"/>
          <w:szCs w:val="32"/>
        </w:rPr>
        <w:t>管理等。合作银行应自觉配合</w:t>
      </w:r>
      <w:r>
        <w:rPr>
          <w:rFonts w:hint="eastAsia" w:ascii="宋体" w:hAnsi="宋体" w:eastAsia="仿宋_GB2312" w:cs="仿宋_GB2312"/>
          <w:color w:val="auto"/>
          <w:sz w:val="32"/>
          <w:szCs w:val="32"/>
          <w:lang w:eastAsia="zh-CN"/>
        </w:rPr>
        <w:t>接受</w:t>
      </w:r>
      <w:r>
        <w:rPr>
          <w:rFonts w:hint="eastAsia" w:ascii="宋体" w:hAnsi="宋体" w:eastAsia="仿宋_GB2312" w:cs="仿宋_GB2312"/>
          <w:color w:val="auto"/>
          <w:sz w:val="32"/>
          <w:szCs w:val="32"/>
        </w:rPr>
        <w:t>监督检查，并根据监督检查结果，落实整改事项。</w:t>
      </w:r>
    </w:p>
    <w:p w14:paraId="191AA64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宋体" w:hAnsi="宋体" w:eastAsia="仿宋_GB2312" w:cs="仿宋_GB2312"/>
          <w:color w:val="auto"/>
          <w:sz w:val="32"/>
          <w:szCs w:val="32"/>
        </w:rPr>
      </w:pPr>
      <w:r>
        <w:rPr>
          <w:rFonts w:hint="eastAsia" w:ascii="宋体" w:hAnsi="宋体" w:eastAsia="仿宋_GB2312" w:cs="仿宋_GB2312"/>
          <w:b/>
          <w:bCs/>
          <w:sz w:val="32"/>
          <w:szCs w:val="40"/>
        </w:rPr>
        <w:t>第</w:t>
      </w:r>
      <w:r>
        <w:rPr>
          <w:rFonts w:hint="eastAsia" w:ascii="宋体" w:hAnsi="宋体" w:eastAsia="仿宋_GB2312" w:cs="仿宋_GB2312"/>
          <w:b/>
          <w:bCs/>
          <w:sz w:val="32"/>
          <w:szCs w:val="40"/>
          <w:lang w:eastAsia="zh-CN"/>
        </w:rPr>
        <w:t>二十七</w:t>
      </w:r>
      <w:r>
        <w:rPr>
          <w:rFonts w:hint="eastAsia" w:ascii="宋体" w:hAnsi="宋体" w:eastAsia="仿宋_GB2312" w:cs="仿宋_GB2312"/>
          <w:b/>
          <w:bCs/>
          <w:sz w:val="32"/>
          <w:szCs w:val="40"/>
        </w:rPr>
        <w:t>条</w:t>
      </w:r>
      <w:r>
        <w:rPr>
          <w:rFonts w:hint="eastAsia" w:ascii="宋体" w:hAnsi="宋体" w:eastAsia="仿宋_GB2312" w:cs="仿宋_GB2312"/>
          <w:color w:val="auto"/>
          <w:sz w:val="32"/>
          <w:szCs w:val="32"/>
        </w:rPr>
        <w:t xml:space="preserve"> </w:t>
      </w:r>
      <w:r>
        <w:rPr>
          <w:rFonts w:hint="eastAsia" w:ascii="宋体" w:hAnsi="宋体" w:eastAsia="仿宋_GB2312" w:cs="仿宋_GB2312"/>
          <w:color w:val="auto"/>
          <w:sz w:val="32"/>
          <w:szCs w:val="32"/>
          <w:lang w:val="en-US" w:eastAsia="zh-CN"/>
        </w:rPr>
        <w:t xml:space="preserve"> </w:t>
      </w:r>
      <w:r>
        <w:rPr>
          <w:rFonts w:hint="eastAsia" w:ascii="宋体" w:hAnsi="宋体" w:eastAsia="仿宋_GB2312" w:cs="仿宋_GB2312"/>
          <w:color w:val="auto"/>
          <w:sz w:val="32"/>
          <w:szCs w:val="32"/>
        </w:rPr>
        <w:t>合作银行可与政务服务 “好差评” 系统对接，也可依托行业评价系统、评价器等，引导服务对象对服务情况进行评价。评价应覆盖银行经办的所有社保业务事项，实行 “一次一评”“一事一评”。</w:t>
      </w:r>
    </w:p>
    <w:p w14:paraId="5780C5E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宋体" w:hAnsi="宋体" w:eastAsia="仿宋_GB2312" w:cs="仿宋_GB2312"/>
          <w:color w:val="auto"/>
          <w:sz w:val="32"/>
          <w:szCs w:val="32"/>
        </w:rPr>
      </w:pPr>
      <w:r>
        <w:rPr>
          <w:rFonts w:hint="eastAsia" w:ascii="宋体" w:hAnsi="宋体" w:eastAsia="仿宋_GB2312" w:cs="仿宋_GB2312"/>
          <w:b/>
          <w:bCs/>
          <w:sz w:val="32"/>
          <w:szCs w:val="40"/>
          <w:lang w:eastAsia="zh-CN"/>
        </w:rPr>
        <w:t>第二十八条</w:t>
      </w:r>
      <w:r>
        <w:rPr>
          <w:rFonts w:hint="eastAsia" w:ascii="宋体" w:hAnsi="宋体" w:eastAsia="仿宋_GB2312" w:cs="仿宋_GB2312"/>
          <w:color w:val="auto"/>
          <w:sz w:val="32"/>
          <w:szCs w:val="32"/>
          <w:lang w:val="en-US" w:eastAsia="zh-CN"/>
        </w:rPr>
        <w:t xml:space="preserve">  </w:t>
      </w:r>
      <w:r>
        <w:rPr>
          <w:rFonts w:hint="eastAsia" w:ascii="宋体" w:hAnsi="宋体" w:eastAsia="仿宋_GB2312" w:cs="仿宋_GB2312"/>
          <w:color w:val="auto"/>
          <w:sz w:val="32"/>
          <w:szCs w:val="32"/>
          <w:lang w:eastAsia="zh-CN"/>
        </w:rPr>
        <w:t>社银合作双方应</w:t>
      </w:r>
      <w:r>
        <w:rPr>
          <w:rFonts w:hint="eastAsia" w:ascii="宋体" w:hAnsi="宋体" w:eastAsia="仿宋_GB2312" w:cs="仿宋_GB2312"/>
          <w:color w:val="auto"/>
          <w:sz w:val="32"/>
          <w:szCs w:val="32"/>
        </w:rPr>
        <w:t>定期组织开展</w:t>
      </w:r>
      <w:r>
        <w:rPr>
          <w:rFonts w:hint="eastAsia" w:ascii="宋体" w:hAnsi="宋体" w:eastAsia="仿宋_GB2312" w:cs="仿宋_GB2312"/>
          <w:color w:val="auto"/>
          <w:sz w:val="32"/>
          <w:szCs w:val="32"/>
          <w:lang w:eastAsia="zh-CN"/>
        </w:rPr>
        <w:t>社保</w:t>
      </w:r>
      <w:r>
        <w:rPr>
          <w:rFonts w:hint="eastAsia" w:ascii="宋体" w:hAnsi="宋体" w:eastAsia="仿宋_GB2312" w:cs="仿宋_GB2312"/>
          <w:color w:val="auto"/>
          <w:sz w:val="32"/>
          <w:szCs w:val="32"/>
        </w:rPr>
        <w:t>业务“比武练兵”活动，制定相关活动方案及业务知识题库，鼓励</w:t>
      </w:r>
      <w:r>
        <w:rPr>
          <w:rFonts w:hint="eastAsia" w:ascii="宋体" w:hAnsi="宋体" w:eastAsia="仿宋_GB2312" w:cs="仿宋_GB2312"/>
          <w:color w:val="auto"/>
          <w:sz w:val="32"/>
          <w:szCs w:val="32"/>
          <w:lang w:eastAsia="zh-CN"/>
        </w:rPr>
        <w:t>合作银行</w:t>
      </w:r>
      <w:r>
        <w:rPr>
          <w:rFonts w:hint="eastAsia" w:ascii="宋体" w:hAnsi="宋体" w:eastAsia="仿宋_GB2312" w:cs="仿宋_GB2312"/>
          <w:color w:val="auto"/>
          <w:sz w:val="32"/>
          <w:szCs w:val="32"/>
        </w:rPr>
        <w:t>全体</w:t>
      </w:r>
      <w:r>
        <w:rPr>
          <w:rFonts w:hint="eastAsia" w:ascii="宋体" w:hAnsi="宋体" w:eastAsia="仿宋_GB2312" w:cs="仿宋_GB2312"/>
          <w:color w:val="auto"/>
          <w:sz w:val="32"/>
          <w:szCs w:val="32"/>
          <w:lang w:eastAsia="zh-CN"/>
        </w:rPr>
        <w:t>社保</w:t>
      </w:r>
      <w:r>
        <w:rPr>
          <w:rFonts w:hint="eastAsia" w:ascii="宋体" w:hAnsi="宋体" w:eastAsia="仿宋_GB2312" w:cs="仿宋_GB2312"/>
          <w:color w:val="auto"/>
          <w:sz w:val="32"/>
          <w:szCs w:val="32"/>
        </w:rPr>
        <w:t>业务经办人员积极参与，通过知识竞赛等形式，营造比学赶超氛围。</w:t>
      </w:r>
    </w:p>
    <w:p w14:paraId="6643B17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宋体" w:hAnsi="宋体" w:eastAsia="仿宋_GB2312" w:cs="仿宋_GB2312"/>
          <w:color w:val="auto"/>
          <w:sz w:val="32"/>
          <w:szCs w:val="32"/>
          <w:lang w:eastAsia="zh-CN"/>
        </w:rPr>
      </w:pPr>
      <w:r>
        <w:rPr>
          <w:rFonts w:hint="eastAsia" w:ascii="宋体" w:hAnsi="宋体" w:eastAsia="仿宋_GB2312" w:cs="仿宋_GB2312"/>
          <w:b/>
          <w:bCs/>
          <w:sz w:val="32"/>
          <w:szCs w:val="40"/>
          <w:lang w:eastAsia="zh-CN"/>
        </w:rPr>
        <w:t>第二十九条</w:t>
      </w:r>
      <w:r>
        <w:rPr>
          <w:rFonts w:hint="eastAsia" w:ascii="宋体" w:hAnsi="宋体" w:eastAsia="仿宋_GB2312" w:cs="仿宋_GB2312"/>
          <w:color w:val="auto"/>
          <w:sz w:val="32"/>
          <w:szCs w:val="32"/>
          <w:lang w:val="en-US" w:eastAsia="zh-CN"/>
        </w:rPr>
        <w:t xml:space="preserve">  </w:t>
      </w:r>
      <w:r>
        <w:rPr>
          <w:rFonts w:hint="eastAsia" w:ascii="宋体" w:hAnsi="宋体" w:eastAsia="仿宋_GB2312" w:cs="仿宋_GB2312"/>
          <w:color w:val="auto"/>
          <w:sz w:val="32"/>
          <w:szCs w:val="32"/>
        </w:rPr>
        <w:t>社保经办机构</w:t>
      </w:r>
      <w:r>
        <w:rPr>
          <w:rFonts w:hint="eastAsia" w:ascii="宋体" w:hAnsi="宋体" w:eastAsia="仿宋_GB2312" w:cs="仿宋_GB2312"/>
          <w:color w:val="auto"/>
          <w:sz w:val="32"/>
          <w:szCs w:val="32"/>
          <w:lang w:eastAsia="zh-CN"/>
        </w:rPr>
        <w:t>结合业务数据、督查暗访、业务“比武练兵”等结果对合作银行进行综合评价，对于“示范网点”予以公开表彰和奖励，树立服务标杆。合作银行应将社保业务经办质量、数量和效率纳入经办人员考核体系，建立有效激励机制。</w:t>
      </w:r>
    </w:p>
    <w:p w14:paraId="0FBAC08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宋体" w:hAnsi="宋体" w:eastAsia="仿宋_GB2312" w:cs="仿宋_GB2312"/>
          <w:color w:val="000000" w:themeColor="text1"/>
          <w:sz w:val="32"/>
          <w:szCs w:val="32"/>
          <w:lang w:eastAsia="zh-CN"/>
          <w14:textFill>
            <w14:solidFill>
              <w14:schemeClr w14:val="tx1"/>
            </w14:solidFill>
          </w14:textFill>
        </w:rPr>
      </w:pPr>
      <w:r>
        <w:rPr>
          <w:rFonts w:hint="eastAsia" w:ascii="宋体" w:hAnsi="宋体" w:eastAsia="仿宋_GB2312" w:cs="仿宋_GB2312"/>
          <w:b/>
          <w:bCs/>
          <w:sz w:val="32"/>
          <w:szCs w:val="40"/>
          <w:lang w:eastAsia="zh-CN"/>
        </w:rPr>
        <w:t>第三十条</w:t>
      </w:r>
      <w:r>
        <w:rPr>
          <w:rFonts w:hint="eastAsia" w:ascii="宋体" w:hAnsi="宋体" w:eastAsia="仿宋_GB2312" w:cs="仿宋_GB2312"/>
          <w:color w:val="FF0000"/>
          <w:sz w:val="32"/>
          <w:szCs w:val="32"/>
          <w:lang w:val="en-US" w:eastAsia="zh-CN"/>
        </w:rPr>
        <w:t xml:space="preserve"> </w:t>
      </w:r>
      <w:r>
        <w:rPr>
          <w:rFonts w:hint="eastAsia" w:ascii="宋体" w:hAnsi="宋体" w:eastAsia="仿宋_GB2312" w:cs="仿宋_GB2312"/>
          <w:color w:val="000000" w:themeColor="text1"/>
          <w:sz w:val="32"/>
          <w:szCs w:val="32"/>
          <w:lang w:val="en-US" w:eastAsia="zh-CN"/>
          <w14:textFill>
            <w14:solidFill>
              <w14:schemeClr w14:val="tx1"/>
            </w14:solidFill>
          </w14:textFill>
        </w:rPr>
        <w:t xml:space="preserve"> </w:t>
      </w:r>
      <w:r>
        <w:rPr>
          <w:rFonts w:hint="eastAsia" w:ascii="宋体" w:hAnsi="宋体" w:eastAsia="仿宋_GB2312" w:cs="仿宋_GB2312"/>
          <w:color w:val="000000" w:themeColor="text1"/>
          <w:sz w:val="32"/>
          <w:szCs w:val="32"/>
          <w:lang w:eastAsia="zh-CN"/>
          <w14:textFill>
            <w14:solidFill>
              <w14:schemeClr w14:val="tx1"/>
            </w14:solidFill>
          </w14:textFill>
        </w:rPr>
        <w:t>社保经办机构每年度对合作银行网点开展考核</w:t>
      </w:r>
      <w:r>
        <w:rPr>
          <w:rFonts w:hint="eastAsia" w:ascii="宋体" w:hAnsi="宋体" w:eastAsia="仿宋_GB2312" w:cs="仿宋_GB2312"/>
          <w:color w:val="000000" w:themeColor="text1"/>
          <w:sz w:val="32"/>
          <w:szCs w:val="32"/>
          <w:lang w:val="en-US" w:eastAsia="zh-CN"/>
          <w14:textFill>
            <w14:solidFill>
              <w14:schemeClr w14:val="tx1"/>
            </w14:solidFill>
          </w14:textFill>
        </w:rPr>
        <w:t>评估</w:t>
      </w:r>
      <w:r>
        <w:rPr>
          <w:rFonts w:hint="eastAsia" w:ascii="宋体" w:hAnsi="宋体" w:eastAsia="仿宋_GB2312" w:cs="仿宋_GB2312"/>
          <w:color w:val="000000" w:themeColor="text1"/>
          <w:sz w:val="32"/>
          <w:szCs w:val="32"/>
          <w:lang w:eastAsia="zh-CN"/>
          <w14:textFill>
            <w14:solidFill>
              <w14:schemeClr w14:val="tx1"/>
            </w14:solidFill>
          </w14:textFill>
        </w:rPr>
        <w:t>：</w:t>
      </w:r>
    </w:p>
    <w:p w14:paraId="55A0F7B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仿宋_GB2312"/>
          <w:color w:val="000000" w:themeColor="text1"/>
          <w:sz w:val="32"/>
          <w:szCs w:val="32"/>
          <w:lang w:eastAsia="zh-CN"/>
          <w14:textFill>
            <w14:solidFill>
              <w14:schemeClr w14:val="tx1"/>
            </w14:solidFill>
          </w14:textFill>
        </w:rPr>
      </w:pPr>
      <w:r>
        <w:rPr>
          <w:rFonts w:hint="eastAsia" w:ascii="宋体" w:hAnsi="宋体" w:eastAsia="楷体_GB2312" w:cs="楷体_GB2312"/>
          <w:color w:val="000000" w:themeColor="text1"/>
          <w:sz w:val="32"/>
          <w:szCs w:val="32"/>
          <w:lang w:eastAsia="zh-CN"/>
          <w14:textFill>
            <w14:solidFill>
              <w14:schemeClr w14:val="tx1"/>
            </w14:solidFill>
          </w14:textFill>
        </w:rPr>
        <w:t>（一）银行自评。</w:t>
      </w:r>
      <w:r>
        <w:rPr>
          <w:rFonts w:hint="eastAsia" w:ascii="宋体" w:hAnsi="宋体" w:eastAsia="仿宋_GB2312" w:cs="仿宋_GB2312"/>
          <w:color w:val="000000" w:themeColor="text1"/>
          <w:sz w:val="32"/>
          <w:szCs w:val="32"/>
          <w:lang w:eastAsia="zh-CN"/>
          <w14:textFill>
            <w14:solidFill>
              <w14:schemeClr w14:val="tx1"/>
            </w14:solidFill>
          </w14:textFill>
        </w:rPr>
        <w:t>合作银行应建立服务评估制度，对社保业务经办的服务质量和效率、工作人员业务能力和服务态度、社保业务数据的安全和保密等方面进行自我评估。</w:t>
      </w:r>
    </w:p>
    <w:p w14:paraId="2BF4BFA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仿宋_GB2312"/>
          <w:color w:val="000000" w:themeColor="text1"/>
          <w:sz w:val="32"/>
          <w:szCs w:val="32"/>
          <w:lang w:eastAsia="zh-CN"/>
          <w14:textFill>
            <w14:solidFill>
              <w14:schemeClr w14:val="tx1"/>
            </w14:solidFill>
          </w14:textFill>
        </w:rPr>
      </w:pPr>
      <w:r>
        <w:rPr>
          <w:rFonts w:hint="eastAsia" w:ascii="宋体" w:hAnsi="宋体" w:eastAsia="楷体_GB2312" w:cs="楷体_GB2312"/>
          <w:color w:val="000000" w:themeColor="text1"/>
          <w:sz w:val="32"/>
          <w:szCs w:val="32"/>
          <w:lang w:eastAsia="zh-CN"/>
          <w14:textFill>
            <w14:solidFill>
              <w14:schemeClr w14:val="tx1"/>
            </w14:solidFill>
          </w14:textFill>
        </w:rPr>
        <w:t>（二）社保</w:t>
      </w:r>
      <w:r>
        <w:rPr>
          <w:rFonts w:hint="eastAsia" w:ascii="宋体" w:hAnsi="宋体" w:eastAsia="楷体_GB2312" w:cs="楷体_GB2312"/>
          <w:color w:val="000000" w:themeColor="text1"/>
          <w:sz w:val="32"/>
          <w:szCs w:val="32"/>
          <w:lang w:val="en-US" w:eastAsia="zh-CN"/>
          <w14:textFill>
            <w14:solidFill>
              <w14:schemeClr w14:val="tx1"/>
            </w14:solidFill>
          </w14:textFill>
        </w:rPr>
        <w:t>评估</w:t>
      </w:r>
      <w:r>
        <w:rPr>
          <w:rFonts w:hint="eastAsia" w:ascii="宋体" w:hAnsi="宋体" w:eastAsia="楷体_GB2312" w:cs="楷体_GB2312"/>
          <w:color w:val="000000" w:themeColor="text1"/>
          <w:sz w:val="32"/>
          <w:szCs w:val="32"/>
          <w:lang w:eastAsia="zh-CN"/>
          <w14:textFill>
            <w14:solidFill>
              <w14:schemeClr w14:val="tx1"/>
            </w14:solidFill>
          </w14:textFill>
        </w:rPr>
        <w:t>。</w:t>
      </w:r>
      <w:r>
        <w:rPr>
          <w:rFonts w:hint="eastAsia" w:ascii="宋体" w:hAnsi="宋体" w:eastAsia="仿宋_GB2312" w:cs="仿宋_GB2312"/>
          <w:color w:val="000000" w:themeColor="text1"/>
          <w:sz w:val="32"/>
          <w:szCs w:val="32"/>
          <w:lang w:eastAsia="zh-CN"/>
          <w14:textFill>
            <w14:solidFill>
              <w14:schemeClr w14:val="tx1"/>
            </w14:solidFill>
          </w14:textFill>
        </w:rPr>
        <w:t>社保经办机构应建立考核</w:t>
      </w:r>
      <w:r>
        <w:rPr>
          <w:rFonts w:hint="eastAsia" w:ascii="宋体" w:hAnsi="宋体" w:eastAsia="仿宋_GB2312" w:cs="仿宋_GB2312"/>
          <w:color w:val="000000" w:themeColor="text1"/>
          <w:sz w:val="32"/>
          <w:szCs w:val="32"/>
          <w:lang w:val="en-US" w:eastAsia="zh-CN"/>
          <w14:textFill>
            <w14:solidFill>
              <w14:schemeClr w14:val="tx1"/>
            </w14:solidFill>
          </w14:textFill>
        </w:rPr>
        <w:t>评估</w:t>
      </w:r>
      <w:r>
        <w:rPr>
          <w:rFonts w:hint="eastAsia" w:ascii="宋体" w:hAnsi="宋体" w:eastAsia="仿宋_GB2312" w:cs="仿宋_GB2312"/>
          <w:color w:val="000000" w:themeColor="text1"/>
          <w:sz w:val="32"/>
          <w:szCs w:val="32"/>
          <w:lang w:eastAsia="zh-CN"/>
          <w14:textFill>
            <w14:solidFill>
              <w14:schemeClr w14:val="tx1"/>
            </w14:solidFill>
          </w14:textFill>
        </w:rPr>
        <w:t>机制（《合作银行经办社保业务考核指导清单》见附件</w:t>
      </w:r>
      <w:r>
        <w:rPr>
          <w:rFonts w:hint="eastAsia" w:ascii="宋体" w:hAnsi="宋体" w:eastAsia="仿宋_GB2312" w:cs="仿宋_GB2312"/>
          <w:color w:val="000000" w:themeColor="text1"/>
          <w:sz w:val="32"/>
          <w:szCs w:val="32"/>
          <w:lang w:val="en-US" w:eastAsia="zh-CN"/>
          <w14:textFill>
            <w14:solidFill>
              <w14:schemeClr w14:val="tx1"/>
            </w14:solidFill>
          </w14:textFill>
        </w:rPr>
        <w:t>5</w:t>
      </w:r>
      <w:r>
        <w:rPr>
          <w:rFonts w:hint="eastAsia" w:ascii="宋体" w:hAnsi="宋体" w:eastAsia="仿宋_GB2312" w:cs="仿宋_GB2312"/>
          <w:color w:val="000000" w:themeColor="text1"/>
          <w:sz w:val="32"/>
          <w:szCs w:val="32"/>
          <w:lang w:eastAsia="zh-CN"/>
          <w14:textFill>
            <w14:solidFill>
              <w14:schemeClr w14:val="tx1"/>
            </w14:solidFill>
          </w14:textFill>
        </w:rPr>
        <w:t>），每年对合作银行经办社保业务情况进行一次考核，评选星级网点。</w:t>
      </w:r>
      <w:r>
        <w:rPr>
          <w:rFonts w:hint="eastAsia" w:ascii="宋体" w:hAnsi="宋体" w:eastAsia="仿宋_GB2312" w:cs="仿宋_GB2312"/>
          <w:color w:val="000000" w:themeColor="text1"/>
          <w:sz w:val="32"/>
          <w:szCs w:val="32"/>
          <w:lang w:val="en-US" w:eastAsia="zh-CN"/>
          <w14:textFill>
            <w14:solidFill>
              <w14:schemeClr w14:val="tx1"/>
            </w14:solidFill>
          </w14:textFill>
        </w:rPr>
        <w:t>考核</w:t>
      </w:r>
      <w:r>
        <w:rPr>
          <w:rFonts w:hint="eastAsia" w:ascii="宋体" w:hAnsi="宋体" w:eastAsia="仿宋_GB2312" w:cs="仿宋_GB2312"/>
          <w:color w:val="000000" w:themeColor="text1"/>
          <w:sz w:val="32"/>
          <w:szCs w:val="32"/>
          <w:lang w:eastAsia="zh-CN"/>
          <w14:textFill>
            <w14:solidFill>
              <w14:schemeClr w14:val="tx1"/>
            </w14:solidFill>
          </w14:textFill>
        </w:rPr>
        <w:t>可由各级社保经办机构成立</w:t>
      </w:r>
      <w:r>
        <w:rPr>
          <w:rFonts w:hint="eastAsia" w:ascii="宋体" w:hAnsi="宋体" w:eastAsia="仿宋_GB2312" w:cs="仿宋_GB2312"/>
          <w:color w:val="000000" w:themeColor="text1"/>
          <w:sz w:val="32"/>
          <w:szCs w:val="32"/>
          <w:lang w:val="en-US" w:eastAsia="zh-CN"/>
          <w14:textFill>
            <w14:solidFill>
              <w14:schemeClr w14:val="tx1"/>
            </w14:solidFill>
          </w14:textFill>
        </w:rPr>
        <w:t>考核</w:t>
      </w:r>
      <w:r>
        <w:rPr>
          <w:rFonts w:hint="eastAsia" w:ascii="宋体" w:hAnsi="宋体" w:eastAsia="仿宋_GB2312" w:cs="仿宋_GB2312"/>
          <w:color w:val="000000" w:themeColor="text1"/>
          <w:sz w:val="32"/>
          <w:szCs w:val="32"/>
          <w:lang w:eastAsia="zh-CN"/>
          <w14:textFill>
            <w14:solidFill>
              <w14:schemeClr w14:val="tx1"/>
            </w14:solidFill>
          </w14:textFill>
        </w:rPr>
        <w:t>小组或委托第三方机构组织开展。</w:t>
      </w:r>
    </w:p>
    <w:p w14:paraId="20D8ABF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仿宋_GB2312"/>
          <w:color w:val="000000" w:themeColor="text1"/>
          <w:sz w:val="32"/>
          <w:szCs w:val="32"/>
          <w:lang w:eastAsia="zh-CN"/>
          <w14:textFill>
            <w14:solidFill>
              <w14:schemeClr w14:val="tx1"/>
            </w14:solidFill>
          </w14:textFill>
        </w:rPr>
      </w:pPr>
      <w:r>
        <w:rPr>
          <w:rFonts w:hint="eastAsia" w:ascii="宋体" w:hAnsi="宋体" w:eastAsia="楷体_GB2312" w:cs="楷体_GB2312"/>
          <w:color w:val="000000" w:themeColor="text1"/>
          <w:sz w:val="32"/>
          <w:szCs w:val="32"/>
          <w:lang w:eastAsia="zh-CN"/>
          <w14:textFill>
            <w14:solidFill>
              <w14:schemeClr w14:val="tx1"/>
            </w14:solidFill>
          </w14:textFill>
        </w:rPr>
        <w:t>（三）</w:t>
      </w:r>
      <w:r>
        <w:rPr>
          <w:rFonts w:hint="eastAsia" w:ascii="宋体" w:hAnsi="宋体" w:eastAsia="楷体_GB2312" w:cs="楷体_GB2312"/>
          <w:color w:val="000000" w:themeColor="text1"/>
          <w:sz w:val="32"/>
          <w:szCs w:val="32"/>
          <w:lang w:val="en-US" w:eastAsia="zh-CN"/>
          <w14:textFill>
            <w14:solidFill>
              <w14:schemeClr w14:val="tx1"/>
            </w14:solidFill>
          </w14:textFill>
        </w:rPr>
        <w:t>考核</w:t>
      </w:r>
      <w:r>
        <w:rPr>
          <w:rFonts w:hint="eastAsia" w:ascii="宋体" w:hAnsi="宋体" w:eastAsia="楷体_GB2312" w:cs="楷体_GB2312"/>
          <w:color w:val="000000" w:themeColor="text1"/>
          <w:sz w:val="32"/>
          <w:szCs w:val="32"/>
          <w:lang w:eastAsia="zh-CN"/>
          <w14:textFill>
            <w14:solidFill>
              <w14:schemeClr w14:val="tx1"/>
            </w14:solidFill>
          </w14:textFill>
        </w:rPr>
        <w:t>结果应用。</w:t>
      </w:r>
      <w:r>
        <w:rPr>
          <w:rFonts w:hint="eastAsia" w:ascii="宋体" w:hAnsi="宋体" w:eastAsia="楷体_GB2312" w:cs="楷体_GB2312"/>
          <w:color w:val="000000" w:themeColor="text1"/>
          <w:sz w:val="32"/>
          <w:szCs w:val="32"/>
          <w:lang w:val="en-US" w:eastAsia="zh-CN"/>
          <w14:textFill>
            <w14:solidFill>
              <w14:schemeClr w14:val="tx1"/>
            </w14:solidFill>
          </w14:textFill>
        </w:rPr>
        <w:t>考核</w:t>
      </w:r>
      <w:r>
        <w:rPr>
          <w:rFonts w:hint="eastAsia" w:ascii="宋体" w:hAnsi="宋体" w:eastAsia="仿宋_GB2312" w:cs="仿宋_GB2312"/>
          <w:color w:val="000000" w:themeColor="text1"/>
          <w:sz w:val="32"/>
          <w:szCs w:val="32"/>
          <w:lang w:eastAsia="zh-CN"/>
          <w14:textFill>
            <w14:solidFill>
              <w14:schemeClr w14:val="tx1"/>
            </w14:solidFill>
          </w14:textFill>
        </w:rPr>
        <w:t>结果作为社保经办机构与合作银行继续或终止合作的依据，也作为合作银行改进社保业务经办工作的依据。</w:t>
      </w:r>
    </w:p>
    <w:p w14:paraId="55E1BF3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仿宋_GB2312"/>
          <w:color w:val="FF0000"/>
          <w:sz w:val="32"/>
          <w:szCs w:val="32"/>
          <w:lang w:eastAsia="zh-CN"/>
        </w:rPr>
      </w:pPr>
    </w:p>
    <w:p w14:paraId="7BD0AC6A">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宋体" w:hAnsi="宋体" w:eastAsia="黑体" w:cs="黑体"/>
          <w:color w:val="auto"/>
          <w:sz w:val="32"/>
          <w:szCs w:val="32"/>
        </w:rPr>
      </w:pPr>
      <w:r>
        <w:rPr>
          <w:rFonts w:hint="eastAsia" w:ascii="宋体" w:hAnsi="宋体" w:eastAsia="黑体" w:cs="黑体"/>
          <w:color w:val="auto"/>
          <w:sz w:val="32"/>
          <w:szCs w:val="32"/>
        </w:rPr>
        <w:t>第</w:t>
      </w:r>
      <w:r>
        <w:rPr>
          <w:rFonts w:hint="eastAsia" w:ascii="宋体" w:hAnsi="宋体" w:eastAsia="黑体" w:cs="黑体"/>
          <w:color w:val="auto"/>
          <w:sz w:val="32"/>
          <w:szCs w:val="32"/>
          <w:lang w:eastAsia="zh-CN"/>
        </w:rPr>
        <w:t>七</w:t>
      </w:r>
      <w:r>
        <w:rPr>
          <w:rFonts w:hint="eastAsia" w:ascii="宋体" w:hAnsi="宋体" w:eastAsia="黑体" w:cs="黑体"/>
          <w:color w:val="auto"/>
          <w:sz w:val="32"/>
          <w:szCs w:val="32"/>
        </w:rPr>
        <w:t xml:space="preserve">章 </w:t>
      </w:r>
      <w:r>
        <w:rPr>
          <w:rFonts w:hint="eastAsia" w:ascii="宋体" w:hAnsi="宋体" w:eastAsia="黑体" w:cs="黑体"/>
          <w:color w:val="auto"/>
          <w:sz w:val="32"/>
          <w:szCs w:val="32"/>
          <w:lang w:val="en-US" w:eastAsia="zh-CN"/>
        </w:rPr>
        <w:t xml:space="preserve"> </w:t>
      </w:r>
      <w:r>
        <w:rPr>
          <w:rFonts w:hint="eastAsia" w:ascii="宋体" w:hAnsi="宋体" w:eastAsia="黑体" w:cs="黑体"/>
          <w:color w:val="auto"/>
          <w:sz w:val="32"/>
          <w:szCs w:val="32"/>
        </w:rPr>
        <w:t>合作终止</w:t>
      </w:r>
    </w:p>
    <w:p w14:paraId="6240DB9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宋体" w:hAnsi="宋体" w:eastAsia="仿宋_GB2312" w:cs="仿宋_GB2312"/>
          <w:color w:val="auto"/>
          <w:sz w:val="32"/>
          <w:szCs w:val="32"/>
          <w:highlight w:val="none"/>
        </w:rPr>
      </w:pPr>
      <w:r>
        <w:rPr>
          <w:rFonts w:hint="eastAsia" w:ascii="宋体" w:hAnsi="宋体" w:eastAsia="仿宋_GB2312" w:cs="仿宋_GB2312"/>
          <w:b/>
          <w:bCs/>
          <w:sz w:val="32"/>
          <w:szCs w:val="40"/>
          <w:highlight w:val="none"/>
        </w:rPr>
        <w:t>第三十</w:t>
      </w:r>
      <w:r>
        <w:rPr>
          <w:rFonts w:hint="eastAsia" w:ascii="宋体" w:hAnsi="宋体" w:eastAsia="仿宋_GB2312" w:cs="仿宋_GB2312"/>
          <w:b/>
          <w:bCs/>
          <w:sz w:val="32"/>
          <w:szCs w:val="40"/>
          <w:highlight w:val="none"/>
          <w:lang w:eastAsia="zh-CN"/>
        </w:rPr>
        <w:t>一</w:t>
      </w:r>
      <w:r>
        <w:rPr>
          <w:rFonts w:hint="eastAsia" w:ascii="宋体" w:hAnsi="宋体" w:eastAsia="仿宋_GB2312" w:cs="仿宋_GB2312"/>
          <w:b/>
          <w:bCs/>
          <w:sz w:val="32"/>
          <w:szCs w:val="40"/>
          <w:highlight w:val="none"/>
        </w:rPr>
        <w:t>条</w:t>
      </w:r>
      <w:r>
        <w:rPr>
          <w:rFonts w:hint="eastAsia" w:ascii="宋体" w:hAnsi="宋体" w:eastAsia="仿宋_GB2312" w:cs="仿宋_GB2312"/>
          <w:color w:val="auto"/>
          <w:sz w:val="32"/>
          <w:szCs w:val="32"/>
          <w:highlight w:val="none"/>
        </w:rPr>
        <w:t xml:space="preserve"> </w:t>
      </w:r>
      <w:r>
        <w:rPr>
          <w:rFonts w:hint="eastAsia" w:ascii="宋体" w:hAnsi="宋体" w:eastAsia="仿宋_GB2312" w:cs="仿宋_GB2312"/>
          <w:color w:val="auto"/>
          <w:sz w:val="32"/>
          <w:szCs w:val="32"/>
          <w:highlight w:val="none"/>
          <w:lang w:val="en-US" w:eastAsia="zh-CN"/>
        </w:rPr>
        <w:t xml:space="preserve"> </w:t>
      </w:r>
      <w:r>
        <w:rPr>
          <w:rFonts w:hint="eastAsia" w:ascii="宋体" w:hAnsi="宋体" w:eastAsia="仿宋_GB2312" w:cs="仿宋_GB2312"/>
          <w:color w:val="auto"/>
          <w:sz w:val="32"/>
          <w:szCs w:val="32"/>
          <w:highlight w:val="none"/>
        </w:rPr>
        <w:t>合作协议期满，任何一方</w:t>
      </w:r>
      <w:r>
        <w:rPr>
          <w:rFonts w:hint="eastAsia" w:ascii="宋体" w:hAnsi="宋体" w:eastAsia="仿宋_GB2312" w:cs="仿宋_GB2312"/>
          <w:color w:val="auto"/>
          <w:sz w:val="32"/>
          <w:szCs w:val="32"/>
          <w:highlight w:val="none"/>
          <w:lang w:val="en-US" w:eastAsia="zh-CN"/>
        </w:rPr>
        <w:t>不再</w:t>
      </w:r>
      <w:r>
        <w:rPr>
          <w:rFonts w:hint="eastAsia" w:ascii="宋体" w:hAnsi="宋体" w:eastAsia="仿宋_GB2312" w:cs="仿宋_GB2312"/>
          <w:color w:val="auto"/>
          <w:sz w:val="32"/>
          <w:szCs w:val="32"/>
          <w:highlight w:val="none"/>
        </w:rPr>
        <w:t>续签合作协议的，自动终止合作关系。</w:t>
      </w:r>
    </w:p>
    <w:p w14:paraId="455F97C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宋体" w:hAnsi="宋体" w:eastAsia="仿宋_GB2312" w:cs="仿宋_GB2312"/>
          <w:color w:val="auto"/>
          <w:sz w:val="32"/>
          <w:szCs w:val="32"/>
          <w:highlight w:val="none"/>
        </w:rPr>
      </w:pPr>
      <w:r>
        <w:rPr>
          <w:rFonts w:hint="eastAsia" w:ascii="宋体" w:hAnsi="宋体" w:eastAsia="仿宋_GB2312" w:cs="仿宋_GB2312"/>
          <w:b/>
          <w:bCs/>
          <w:sz w:val="32"/>
          <w:szCs w:val="40"/>
          <w:highlight w:val="none"/>
        </w:rPr>
        <w:t>第三十</w:t>
      </w:r>
      <w:r>
        <w:rPr>
          <w:rFonts w:hint="eastAsia" w:ascii="宋体" w:hAnsi="宋体" w:eastAsia="仿宋_GB2312" w:cs="仿宋_GB2312"/>
          <w:b/>
          <w:bCs/>
          <w:sz w:val="32"/>
          <w:szCs w:val="40"/>
          <w:highlight w:val="none"/>
          <w:lang w:eastAsia="zh-CN"/>
        </w:rPr>
        <w:t>二</w:t>
      </w:r>
      <w:r>
        <w:rPr>
          <w:rFonts w:hint="eastAsia" w:ascii="宋体" w:hAnsi="宋体" w:eastAsia="仿宋_GB2312" w:cs="仿宋_GB2312"/>
          <w:b/>
          <w:bCs/>
          <w:sz w:val="32"/>
          <w:szCs w:val="40"/>
          <w:highlight w:val="none"/>
        </w:rPr>
        <w:t>条</w:t>
      </w:r>
      <w:r>
        <w:rPr>
          <w:rFonts w:hint="eastAsia" w:ascii="宋体" w:hAnsi="宋体" w:eastAsia="仿宋_GB2312" w:cs="仿宋_GB2312"/>
          <w:b/>
          <w:bCs/>
          <w:sz w:val="32"/>
          <w:szCs w:val="40"/>
          <w:highlight w:val="none"/>
          <w:lang w:val="en-US" w:eastAsia="zh-CN"/>
        </w:rPr>
        <w:t xml:space="preserve"> </w:t>
      </w:r>
      <w:r>
        <w:rPr>
          <w:rFonts w:hint="eastAsia" w:ascii="宋体" w:hAnsi="宋体" w:eastAsia="仿宋_GB2312" w:cs="仿宋_GB2312"/>
          <w:color w:val="auto"/>
          <w:sz w:val="32"/>
          <w:szCs w:val="32"/>
          <w:highlight w:val="none"/>
        </w:rPr>
        <w:t xml:space="preserve"> 合作银行或其下属合作网点因资源不足、网点合并、搬迁、撤销等客观条件发生变化，无法继续经办社保业务的，应</w:t>
      </w:r>
      <w:r>
        <w:rPr>
          <w:rFonts w:hint="eastAsia" w:ascii="宋体" w:hAnsi="宋体" w:eastAsia="仿宋_GB2312" w:cs="仿宋_GB2312"/>
          <w:color w:val="auto"/>
          <w:sz w:val="32"/>
          <w:szCs w:val="32"/>
          <w:highlight w:val="none"/>
          <w:lang w:eastAsia="zh-CN"/>
        </w:rPr>
        <w:t>与</w:t>
      </w:r>
      <w:r>
        <w:rPr>
          <w:rFonts w:hint="eastAsia" w:ascii="宋体" w:hAnsi="宋体" w:eastAsia="仿宋_GB2312" w:cs="仿宋_GB2312"/>
          <w:color w:val="auto"/>
          <w:sz w:val="32"/>
          <w:szCs w:val="32"/>
          <w:highlight w:val="none"/>
          <w:lang w:val="en-US" w:eastAsia="zh-CN"/>
        </w:rPr>
        <w:t>社保经办机构</w:t>
      </w:r>
      <w:r>
        <w:rPr>
          <w:rFonts w:hint="eastAsia" w:ascii="宋体" w:hAnsi="宋体" w:eastAsia="仿宋_GB2312" w:cs="仿宋_GB2312"/>
          <w:color w:val="auto"/>
          <w:sz w:val="32"/>
          <w:szCs w:val="32"/>
          <w:highlight w:val="none"/>
        </w:rPr>
        <w:t>协商，并提出书面退出申请，经</w:t>
      </w:r>
      <w:r>
        <w:rPr>
          <w:rFonts w:hint="eastAsia" w:ascii="宋体" w:hAnsi="宋体" w:eastAsia="仿宋_GB2312" w:cs="仿宋_GB2312"/>
          <w:color w:val="auto"/>
          <w:sz w:val="32"/>
          <w:szCs w:val="32"/>
          <w:highlight w:val="none"/>
          <w:lang w:eastAsia="zh-CN"/>
        </w:rPr>
        <w:t>社保经办机构</w:t>
      </w:r>
      <w:r>
        <w:rPr>
          <w:rFonts w:hint="eastAsia" w:ascii="宋体" w:hAnsi="宋体" w:eastAsia="仿宋_GB2312" w:cs="仿宋_GB2312"/>
          <w:color w:val="auto"/>
          <w:sz w:val="32"/>
          <w:szCs w:val="32"/>
          <w:highlight w:val="none"/>
        </w:rPr>
        <w:t>核准后可以终止合作关系。</w:t>
      </w:r>
      <w:r>
        <w:rPr>
          <w:rFonts w:hint="eastAsia" w:ascii="宋体" w:hAnsi="宋体" w:eastAsia="仿宋_GB2312" w:cs="仿宋_GB2312"/>
          <w:color w:val="auto"/>
          <w:sz w:val="32"/>
          <w:szCs w:val="32"/>
          <w:highlight w:val="none"/>
          <w:lang w:eastAsia="zh-CN"/>
        </w:rPr>
        <w:t>社保经办机构</w:t>
      </w:r>
      <w:r>
        <w:rPr>
          <w:rFonts w:hint="eastAsia" w:ascii="宋体" w:hAnsi="宋体" w:eastAsia="仿宋_GB2312" w:cs="仿宋_GB2312"/>
          <w:color w:val="auto"/>
          <w:sz w:val="32"/>
          <w:szCs w:val="32"/>
          <w:highlight w:val="none"/>
        </w:rPr>
        <w:t>因重大情况变化，可与合作银行或合作网点协商终止合作关系。</w:t>
      </w:r>
    </w:p>
    <w:p w14:paraId="6A4AA17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宋体" w:hAnsi="宋体" w:eastAsia="仿宋_GB2312" w:cs="仿宋_GB2312"/>
          <w:color w:val="auto"/>
          <w:sz w:val="32"/>
          <w:szCs w:val="32"/>
          <w:highlight w:val="none"/>
        </w:rPr>
      </w:pPr>
      <w:r>
        <w:rPr>
          <w:rFonts w:hint="eastAsia" w:ascii="宋体" w:hAnsi="宋体" w:eastAsia="仿宋_GB2312" w:cs="仿宋_GB2312"/>
          <w:b/>
          <w:bCs/>
          <w:sz w:val="32"/>
          <w:szCs w:val="40"/>
          <w:highlight w:val="none"/>
        </w:rPr>
        <w:t>第三十</w:t>
      </w:r>
      <w:r>
        <w:rPr>
          <w:rFonts w:hint="eastAsia" w:ascii="宋体" w:hAnsi="宋体" w:eastAsia="仿宋_GB2312" w:cs="仿宋_GB2312"/>
          <w:b/>
          <w:bCs/>
          <w:sz w:val="32"/>
          <w:szCs w:val="40"/>
          <w:highlight w:val="none"/>
          <w:lang w:eastAsia="zh-CN"/>
        </w:rPr>
        <w:t>三</w:t>
      </w:r>
      <w:r>
        <w:rPr>
          <w:rFonts w:hint="eastAsia" w:ascii="宋体" w:hAnsi="宋体" w:eastAsia="仿宋_GB2312" w:cs="仿宋_GB2312"/>
          <w:b/>
          <w:bCs/>
          <w:sz w:val="32"/>
          <w:szCs w:val="40"/>
          <w:highlight w:val="none"/>
        </w:rPr>
        <w:t>条</w:t>
      </w:r>
      <w:r>
        <w:rPr>
          <w:rFonts w:hint="eastAsia" w:ascii="宋体" w:hAnsi="宋体" w:eastAsia="仿宋_GB2312" w:cs="仿宋_GB2312"/>
          <w:color w:val="auto"/>
          <w:sz w:val="32"/>
          <w:szCs w:val="32"/>
          <w:highlight w:val="none"/>
        </w:rPr>
        <w:t xml:space="preserve"> </w:t>
      </w:r>
      <w:r>
        <w:rPr>
          <w:rFonts w:hint="eastAsia" w:ascii="宋体" w:hAnsi="宋体" w:eastAsia="仿宋_GB2312" w:cs="仿宋_GB2312"/>
          <w:color w:val="auto"/>
          <w:sz w:val="32"/>
          <w:szCs w:val="32"/>
          <w:highlight w:val="none"/>
          <w:lang w:val="en-US" w:eastAsia="zh-CN"/>
        </w:rPr>
        <w:t xml:space="preserve"> </w:t>
      </w:r>
      <w:r>
        <w:rPr>
          <w:rFonts w:hint="eastAsia" w:ascii="宋体" w:hAnsi="宋体" w:eastAsia="仿宋_GB2312" w:cs="仿宋_GB2312"/>
          <w:color w:val="auto"/>
          <w:sz w:val="32"/>
          <w:szCs w:val="32"/>
          <w:highlight w:val="none"/>
        </w:rPr>
        <w:t>合作银行或合作网点在运行过程中，出现以下情形，</w:t>
      </w:r>
      <w:r>
        <w:rPr>
          <w:rFonts w:hint="eastAsia" w:ascii="宋体" w:hAnsi="宋体" w:eastAsia="仿宋_GB2312" w:cs="仿宋_GB2312"/>
          <w:color w:val="auto"/>
          <w:sz w:val="32"/>
          <w:szCs w:val="32"/>
          <w:highlight w:val="none"/>
          <w:lang w:eastAsia="zh-CN"/>
        </w:rPr>
        <w:t>社保经办机构</w:t>
      </w:r>
      <w:r>
        <w:rPr>
          <w:rFonts w:hint="eastAsia" w:ascii="宋体" w:hAnsi="宋体" w:eastAsia="仿宋_GB2312" w:cs="仿宋_GB2312"/>
          <w:color w:val="auto"/>
          <w:sz w:val="32"/>
          <w:szCs w:val="32"/>
          <w:highlight w:val="none"/>
        </w:rPr>
        <w:t>应强制终止合作关系：</w:t>
      </w:r>
    </w:p>
    <w:p w14:paraId="704A91C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仿宋_GB2312"/>
          <w:color w:val="auto"/>
          <w:sz w:val="32"/>
          <w:szCs w:val="32"/>
          <w:highlight w:val="none"/>
        </w:rPr>
      </w:pPr>
      <w:r>
        <w:rPr>
          <w:rFonts w:hint="eastAsia" w:ascii="宋体" w:hAnsi="宋体" w:eastAsia="仿宋_GB2312" w:cs="仿宋_GB2312"/>
          <w:color w:val="auto"/>
          <w:sz w:val="32"/>
          <w:szCs w:val="32"/>
          <w:highlight w:val="none"/>
        </w:rPr>
        <w:t>（一）违反保密要求，造成严重影响的；</w:t>
      </w:r>
    </w:p>
    <w:p w14:paraId="05675FC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仿宋_GB2312"/>
          <w:color w:val="auto"/>
          <w:sz w:val="32"/>
          <w:szCs w:val="32"/>
          <w:highlight w:val="none"/>
        </w:rPr>
      </w:pPr>
      <w:r>
        <w:rPr>
          <w:rFonts w:hint="eastAsia" w:ascii="宋体" w:hAnsi="宋体" w:eastAsia="仿宋_GB2312" w:cs="仿宋_GB2312"/>
          <w:color w:val="auto"/>
          <w:sz w:val="32"/>
          <w:szCs w:val="32"/>
          <w:highlight w:val="none"/>
        </w:rPr>
        <w:t>（二）发生经办重大失误等行为，经多次提醒、督促，相关问题仍整改不到位的；</w:t>
      </w:r>
    </w:p>
    <w:p w14:paraId="658E88A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仿宋_GB2312"/>
          <w:color w:val="auto"/>
          <w:sz w:val="32"/>
          <w:szCs w:val="32"/>
          <w:highlight w:val="none"/>
        </w:rPr>
      </w:pPr>
      <w:r>
        <w:rPr>
          <w:rFonts w:hint="eastAsia" w:ascii="宋体" w:hAnsi="宋体" w:eastAsia="仿宋_GB2312" w:cs="仿宋_GB2312"/>
          <w:color w:val="auto"/>
          <w:sz w:val="32"/>
          <w:szCs w:val="32"/>
          <w:highlight w:val="none"/>
        </w:rPr>
        <w:t>（三）服务对象对合作网点的投诉反映强烈，被有关部门通报批评或造成严重不良社会影响的；</w:t>
      </w:r>
    </w:p>
    <w:p w14:paraId="115EFEE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仿宋_GB2312"/>
          <w:color w:val="auto"/>
          <w:sz w:val="32"/>
          <w:szCs w:val="32"/>
          <w:highlight w:val="none"/>
        </w:rPr>
      </w:pPr>
      <w:r>
        <w:rPr>
          <w:rFonts w:hint="eastAsia" w:ascii="宋体" w:hAnsi="宋体" w:eastAsia="仿宋_GB2312" w:cs="仿宋_GB2312"/>
          <w:color w:val="auto"/>
          <w:sz w:val="32"/>
          <w:szCs w:val="32"/>
          <w:highlight w:val="none"/>
        </w:rPr>
        <w:t>（四）其他经办社保业务不合规或服务不到位，造成严重影响的情形。</w:t>
      </w:r>
    </w:p>
    <w:p w14:paraId="6CE140A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宋体" w:hAnsi="宋体" w:eastAsia="仿宋_GB2312" w:cs="仿宋_GB2312"/>
          <w:color w:val="auto"/>
          <w:sz w:val="32"/>
          <w:szCs w:val="32"/>
          <w:highlight w:val="none"/>
        </w:rPr>
      </w:pPr>
      <w:r>
        <w:rPr>
          <w:rFonts w:hint="eastAsia" w:ascii="宋体" w:hAnsi="宋体" w:eastAsia="仿宋_GB2312" w:cs="仿宋_GB2312"/>
          <w:b/>
          <w:bCs/>
          <w:sz w:val="32"/>
          <w:szCs w:val="40"/>
          <w:highlight w:val="none"/>
        </w:rPr>
        <w:t>第三十</w:t>
      </w:r>
      <w:r>
        <w:rPr>
          <w:rFonts w:hint="eastAsia" w:ascii="宋体" w:hAnsi="宋体" w:eastAsia="仿宋_GB2312" w:cs="仿宋_GB2312"/>
          <w:b/>
          <w:bCs/>
          <w:sz w:val="32"/>
          <w:szCs w:val="40"/>
          <w:highlight w:val="none"/>
          <w:lang w:eastAsia="zh-CN"/>
        </w:rPr>
        <w:t>四</w:t>
      </w:r>
      <w:r>
        <w:rPr>
          <w:rFonts w:hint="eastAsia" w:ascii="宋体" w:hAnsi="宋体" w:eastAsia="仿宋_GB2312" w:cs="仿宋_GB2312"/>
          <w:b/>
          <w:bCs/>
          <w:sz w:val="32"/>
          <w:szCs w:val="40"/>
          <w:highlight w:val="none"/>
        </w:rPr>
        <w:t>条</w:t>
      </w:r>
      <w:r>
        <w:rPr>
          <w:rFonts w:hint="eastAsia" w:ascii="宋体" w:hAnsi="宋体" w:eastAsia="仿宋_GB2312" w:cs="仿宋_GB2312"/>
          <w:b/>
          <w:bCs/>
          <w:sz w:val="32"/>
          <w:szCs w:val="40"/>
          <w:highlight w:val="none"/>
          <w:lang w:val="en-US" w:eastAsia="zh-CN"/>
        </w:rPr>
        <w:t xml:space="preserve"> </w:t>
      </w:r>
      <w:r>
        <w:rPr>
          <w:rFonts w:hint="eastAsia" w:ascii="宋体" w:hAnsi="宋体" w:eastAsia="仿宋_GB2312" w:cs="仿宋_GB2312"/>
          <w:color w:val="auto"/>
          <w:sz w:val="32"/>
          <w:szCs w:val="32"/>
          <w:highlight w:val="none"/>
        </w:rPr>
        <w:t xml:space="preserve"> 经</w:t>
      </w:r>
      <w:r>
        <w:rPr>
          <w:rFonts w:hint="eastAsia" w:ascii="宋体" w:hAnsi="宋体" w:eastAsia="仿宋_GB2312" w:cs="仿宋_GB2312"/>
          <w:color w:val="auto"/>
          <w:sz w:val="32"/>
          <w:szCs w:val="32"/>
          <w:highlight w:val="none"/>
          <w:lang w:eastAsia="zh-CN"/>
        </w:rPr>
        <w:t>社保经办机构</w:t>
      </w:r>
      <w:r>
        <w:rPr>
          <w:rFonts w:hint="eastAsia" w:ascii="宋体" w:hAnsi="宋体" w:eastAsia="仿宋_GB2312" w:cs="仿宋_GB2312"/>
          <w:color w:val="auto"/>
          <w:sz w:val="32"/>
          <w:szCs w:val="32"/>
          <w:highlight w:val="none"/>
        </w:rPr>
        <w:t>核准后终止合作关系的，</w:t>
      </w:r>
      <w:r>
        <w:rPr>
          <w:rFonts w:hint="eastAsia" w:ascii="宋体" w:hAnsi="宋体" w:eastAsia="仿宋_GB2312" w:cs="仿宋_GB2312"/>
          <w:color w:val="auto"/>
          <w:sz w:val="32"/>
          <w:szCs w:val="32"/>
          <w:highlight w:val="none"/>
          <w:lang w:eastAsia="zh-CN"/>
        </w:rPr>
        <w:t>应</w:t>
      </w:r>
      <w:r>
        <w:rPr>
          <w:rFonts w:hint="eastAsia" w:ascii="宋体" w:hAnsi="宋体" w:eastAsia="仿宋_GB2312" w:cs="仿宋_GB2312"/>
          <w:color w:val="auto"/>
          <w:sz w:val="32"/>
          <w:szCs w:val="32"/>
          <w:highlight w:val="none"/>
        </w:rPr>
        <w:t>解除合作协议，因强制终止产生争议的按双方合作协议约定的解决争议条款处理。</w:t>
      </w:r>
    </w:p>
    <w:p w14:paraId="473A420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宋体" w:hAnsi="宋体" w:eastAsia="仿宋_GB2312" w:cs="仿宋_GB2312"/>
          <w:color w:val="auto"/>
          <w:sz w:val="32"/>
          <w:szCs w:val="32"/>
          <w:highlight w:val="none"/>
        </w:rPr>
      </w:pPr>
      <w:r>
        <w:rPr>
          <w:rFonts w:hint="eastAsia" w:ascii="宋体" w:hAnsi="宋体" w:eastAsia="仿宋_GB2312" w:cs="仿宋_GB2312"/>
          <w:b/>
          <w:bCs/>
          <w:sz w:val="32"/>
          <w:szCs w:val="40"/>
          <w:highlight w:val="none"/>
        </w:rPr>
        <w:t>第</w:t>
      </w:r>
      <w:r>
        <w:rPr>
          <w:rFonts w:hint="eastAsia" w:ascii="宋体" w:hAnsi="宋体" w:eastAsia="仿宋_GB2312" w:cs="仿宋_GB2312"/>
          <w:b/>
          <w:bCs/>
          <w:sz w:val="32"/>
          <w:szCs w:val="40"/>
          <w:highlight w:val="none"/>
          <w:lang w:eastAsia="zh-CN"/>
        </w:rPr>
        <w:t>三十五</w:t>
      </w:r>
      <w:r>
        <w:rPr>
          <w:rFonts w:hint="eastAsia" w:ascii="宋体" w:hAnsi="宋体" w:eastAsia="仿宋_GB2312" w:cs="仿宋_GB2312"/>
          <w:b/>
          <w:bCs/>
          <w:sz w:val="32"/>
          <w:szCs w:val="40"/>
          <w:highlight w:val="none"/>
        </w:rPr>
        <w:t>条</w:t>
      </w:r>
      <w:r>
        <w:rPr>
          <w:rFonts w:hint="eastAsia" w:ascii="宋体" w:hAnsi="宋体" w:eastAsia="仿宋_GB2312" w:cs="仿宋_GB2312"/>
          <w:b/>
          <w:bCs/>
          <w:sz w:val="32"/>
          <w:szCs w:val="40"/>
          <w:highlight w:val="none"/>
          <w:lang w:val="en-US" w:eastAsia="zh-CN"/>
        </w:rPr>
        <w:t xml:space="preserve"> </w:t>
      </w:r>
      <w:r>
        <w:rPr>
          <w:rFonts w:hint="eastAsia" w:ascii="宋体" w:hAnsi="宋体" w:eastAsia="仿宋_GB2312" w:cs="仿宋_GB2312"/>
          <w:color w:val="auto"/>
          <w:sz w:val="32"/>
          <w:szCs w:val="32"/>
          <w:highlight w:val="none"/>
        </w:rPr>
        <w:t xml:space="preserve"> 终止合作关系且无在办业务的，</w:t>
      </w:r>
      <w:r>
        <w:rPr>
          <w:rFonts w:hint="eastAsia" w:ascii="宋体" w:hAnsi="宋体" w:eastAsia="仿宋_GB2312" w:cs="仿宋_GB2312"/>
          <w:color w:val="auto"/>
          <w:sz w:val="32"/>
          <w:szCs w:val="32"/>
          <w:highlight w:val="none"/>
          <w:lang w:eastAsia="zh-CN"/>
        </w:rPr>
        <w:t>社保经办机构</w:t>
      </w:r>
      <w:r>
        <w:rPr>
          <w:rFonts w:hint="eastAsia" w:ascii="宋体" w:hAnsi="宋体" w:eastAsia="仿宋_GB2312" w:cs="仿宋_GB2312"/>
          <w:color w:val="auto"/>
          <w:sz w:val="32"/>
          <w:szCs w:val="32"/>
          <w:highlight w:val="none"/>
        </w:rPr>
        <w:t>应立即封停合作网点的信息系统</w:t>
      </w:r>
      <w:r>
        <w:rPr>
          <w:rFonts w:hint="eastAsia" w:ascii="宋体" w:hAnsi="宋体" w:eastAsia="仿宋_GB2312" w:cs="仿宋_GB2312"/>
          <w:color w:val="auto"/>
          <w:sz w:val="32"/>
          <w:szCs w:val="32"/>
          <w:highlight w:val="none"/>
          <w:lang w:eastAsia="zh-CN"/>
        </w:rPr>
        <w:t>人员账号和</w:t>
      </w:r>
      <w:r>
        <w:rPr>
          <w:rFonts w:hint="eastAsia" w:ascii="宋体" w:hAnsi="宋体" w:eastAsia="仿宋_GB2312" w:cs="仿宋_GB2312"/>
          <w:color w:val="auto"/>
          <w:sz w:val="32"/>
          <w:szCs w:val="32"/>
          <w:highlight w:val="none"/>
        </w:rPr>
        <w:t>操作权限，对存储设备进行数据擦除。有在办业务的，仅保留在办业务相关权限至业务办结，其他权限</w:t>
      </w:r>
      <w:r>
        <w:rPr>
          <w:rFonts w:hint="eastAsia" w:ascii="宋体" w:hAnsi="宋体" w:eastAsia="仿宋_GB2312" w:cs="仿宋_GB2312"/>
          <w:color w:val="auto"/>
          <w:sz w:val="32"/>
          <w:szCs w:val="32"/>
          <w:highlight w:val="none"/>
          <w:lang w:eastAsia="zh-CN"/>
        </w:rPr>
        <w:t>及</w:t>
      </w:r>
      <w:r>
        <w:rPr>
          <w:rFonts w:hint="eastAsia" w:ascii="宋体" w:hAnsi="宋体" w:eastAsia="仿宋_GB2312" w:cs="仿宋_GB2312"/>
          <w:color w:val="auto"/>
          <w:sz w:val="32"/>
          <w:szCs w:val="32"/>
          <w:highlight w:val="none"/>
        </w:rPr>
        <w:t>相关数据先行封停、擦除，待业务办结后将剩余权限封停。</w:t>
      </w:r>
    </w:p>
    <w:p w14:paraId="0F59EA9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宋体" w:hAnsi="宋体" w:eastAsia="仿宋_GB2312" w:cs="仿宋_GB2312"/>
          <w:color w:val="auto"/>
          <w:sz w:val="32"/>
          <w:szCs w:val="32"/>
          <w:highlight w:val="none"/>
        </w:rPr>
      </w:pPr>
      <w:r>
        <w:rPr>
          <w:rFonts w:hint="eastAsia" w:ascii="宋体" w:hAnsi="宋体" w:eastAsia="仿宋_GB2312" w:cs="仿宋_GB2312"/>
          <w:b/>
          <w:bCs/>
          <w:sz w:val="32"/>
          <w:szCs w:val="40"/>
          <w:highlight w:val="none"/>
        </w:rPr>
        <w:t>第</w:t>
      </w:r>
      <w:r>
        <w:rPr>
          <w:rFonts w:hint="eastAsia" w:ascii="宋体" w:hAnsi="宋体" w:eastAsia="仿宋_GB2312" w:cs="仿宋_GB2312"/>
          <w:b/>
          <w:bCs/>
          <w:sz w:val="32"/>
          <w:szCs w:val="40"/>
          <w:highlight w:val="none"/>
          <w:lang w:eastAsia="zh-CN"/>
        </w:rPr>
        <w:t>三十六</w:t>
      </w:r>
      <w:r>
        <w:rPr>
          <w:rFonts w:hint="eastAsia" w:ascii="宋体" w:hAnsi="宋体" w:eastAsia="仿宋_GB2312" w:cs="仿宋_GB2312"/>
          <w:b/>
          <w:bCs/>
          <w:sz w:val="32"/>
          <w:szCs w:val="40"/>
          <w:highlight w:val="none"/>
        </w:rPr>
        <w:t>条</w:t>
      </w:r>
      <w:r>
        <w:rPr>
          <w:rFonts w:hint="eastAsia" w:ascii="宋体" w:hAnsi="宋体" w:eastAsia="仿宋_GB2312" w:cs="仿宋_GB2312"/>
          <w:b/>
          <w:bCs/>
          <w:sz w:val="32"/>
          <w:szCs w:val="40"/>
          <w:highlight w:val="none"/>
          <w:lang w:val="en-US" w:eastAsia="zh-CN"/>
        </w:rPr>
        <w:t xml:space="preserve"> </w:t>
      </w:r>
      <w:r>
        <w:rPr>
          <w:rFonts w:hint="eastAsia" w:ascii="宋体" w:hAnsi="宋体" w:eastAsia="楷体_GB2312" w:cs="楷体_GB2312"/>
          <w:color w:val="auto"/>
          <w:sz w:val="32"/>
          <w:szCs w:val="32"/>
          <w:highlight w:val="none"/>
          <w:lang w:val="en-US" w:eastAsia="zh-CN"/>
        </w:rPr>
        <w:t xml:space="preserve"> </w:t>
      </w:r>
      <w:r>
        <w:rPr>
          <w:rFonts w:hint="eastAsia" w:ascii="宋体" w:hAnsi="宋体" w:eastAsia="仿宋_GB2312" w:cs="仿宋_GB2312"/>
          <w:color w:val="auto"/>
          <w:sz w:val="32"/>
          <w:szCs w:val="32"/>
          <w:highlight w:val="none"/>
        </w:rPr>
        <w:t>终止合作关系后，应及时向社会发布公告，撤回合作银行或其下属合作网点经办社保业务的相关标识标牌，并进行经办业务资料移交。</w:t>
      </w:r>
    </w:p>
    <w:p w14:paraId="3165329A">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宋体" w:hAnsi="宋体" w:eastAsia="黑体" w:cs="黑体"/>
          <w:color w:val="auto"/>
          <w:sz w:val="32"/>
          <w:szCs w:val="32"/>
        </w:rPr>
      </w:pPr>
    </w:p>
    <w:p w14:paraId="32BFBB0C">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宋体" w:hAnsi="宋体" w:eastAsia="黑体" w:cs="黑体"/>
          <w:color w:val="auto"/>
          <w:sz w:val="32"/>
          <w:szCs w:val="32"/>
        </w:rPr>
      </w:pPr>
      <w:r>
        <w:rPr>
          <w:rFonts w:hint="eastAsia" w:ascii="宋体" w:hAnsi="宋体" w:eastAsia="黑体" w:cs="黑体"/>
          <w:color w:val="auto"/>
          <w:sz w:val="32"/>
          <w:szCs w:val="32"/>
        </w:rPr>
        <w:t>第</w:t>
      </w:r>
      <w:r>
        <w:rPr>
          <w:rFonts w:hint="eastAsia" w:ascii="宋体" w:hAnsi="宋体" w:eastAsia="黑体" w:cs="黑体"/>
          <w:color w:val="auto"/>
          <w:sz w:val="32"/>
          <w:szCs w:val="32"/>
          <w:lang w:eastAsia="zh-CN"/>
        </w:rPr>
        <w:t>八</w:t>
      </w:r>
      <w:r>
        <w:rPr>
          <w:rFonts w:hint="eastAsia" w:ascii="宋体" w:hAnsi="宋体" w:eastAsia="黑体" w:cs="黑体"/>
          <w:color w:val="auto"/>
          <w:sz w:val="32"/>
          <w:szCs w:val="32"/>
        </w:rPr>
        <w:t xml:space="preserve">章 </w:t>
      </w:r>
      <w:r>
        <w:rPr>
          <w:rFonts w:hint="eastAsia" w:ascii="宋体" w:hAnsi="宋体" w:eastAsia="黑体" w:cs="黑体"/>
          <w:color w:val="auto"/>
          <w:sz w:val="32"/>
          <w:szCs w:val="32"/>
          <w:lang w:val="en-US" w:eastAsia="zh-CN"/>
        </w:rPr>
        <w:t xml:space="preserve"> </w:t>
      </w:r>
      <w:r>
        <w:rPr>
          <w:rFonts w:hint="eastAsia" w:ascii="宋体" w:hAnsi="宋体" w:eastAsia="黑体" w:cs="黑体"/>
          <w:color w:val="auto"/>
          <w:sz w:val="32"/>
          <w:szCs w:val="32"/>
        </w:rPr>
        <w:t>附则</w:t>
      </w:r>
    </w:p>
    <w:p w14:paraId="588CB3B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宋体" w:hAnsi="宋体" w:eastAsia="仿宋_GB2312" w:cs="仿宋_GB2312"/>
          <w:color w:val="auto"/>
          <w:sz w:val="32"/>
          <w:szCs w:val="32"/>
        </w:rPr>
      </w:pPr>
      <w:r>
        <w:rPr>
          <w:rFonts w:hint="eastAsia" w:ascii="宋体" w:hAnsi="宋体" w:eastAsia="仿宋_GB2312" w:cs="仿宋_GB2312"/>
          <w:b/>
          <w:bCs/>
          <w:sz w:val="32"/>
          <w:szCs w:val="40"/>
        </w:rPr>
        <w:t>第</w:t>
      </w:r>
      <w:r>
        <w:rPr>
          <w:rFonts w:hint="eastAsia" w:ascii="宋体" w:hAnsi="宋体" w:eastAsia="仿宋_GB2312" w:cs="仿宋_GB2312"/>
          <w:b/>
          <w:bCs/>
          <w:sz w:val="32"/>
          <w:szCs w:val="40"/>
          <w:lang w:eastAsia="zh-CN"/>
        </w:rPr>
        <w:t>三十七</w:t>
      </w:r>
      <w:r>
        <w:rPr>
          <w:rFonts w:hint="eastAsia" w:ascii="宋体" w:hAnsi="宋体" w:eastAsia="仿宋_GB2312" w:cs="仿宋_GB2312"/>
          <w:b/>
          <w:bCs/>
          <w:sz w:val="32"/>
          <w:szCs w:val="40"/>
        </w:rPr>
        <w:t>条</w:t>
      </w:r>
      <w:r>
        <w:rPr>
          <w:rFonts w:hint="eastAsia" w:ascii="宋体" w:hAnsi="宋体" w:eastAsia="仿宋_GB2312" w:cs="仿宋_GB2312"/>
          <w:b/>
          <w:bCs/>
          <w:sz w:val="32"/>
          <w:szCs w:val="40"/>
          <w:lang w:val="en-US" w:eastAsia="zh-CN"/>
        </w:rPr>
        <w:t xml:space="preserve"> </w:t>
      </w:r>
      <w:r>
        <w:rPr>
          <w:rFonts w:hint="eastAsia" w:ascii="宋体" w:hAnsi="宋体" w:eastAsia="楷体_GB2312" w:cs="楷体_GB2312"/>
          <w:color w:val="auto"/>
          <w:sz w:val="32"/>
          <w:szCs w:val="32"/>
          <w:lang w:val="en-US" w:eastAsia="zh-CN"/>
        </w:rPr>
        <w:t xml:space="preserve"> </w:t>
      </w:r>
      <w:r>
        <w:rPr>
          <w:rFonts w:hint="eastAsia" w:ascii="宋体" w:hAnsi="宋体" w:eastAsia="仿宋_GB2312" w:cs="仿宋_GB2312"/>
          <w:color w:val="auto"/>
          <w:sz w:val="32"/>
          <w:szCs w:val="32"/>
        </w:rPr>
        <w:t>本办法由</w:t>
      </w:r>
      <w:r>
        <w:rPr>
          <w:rFonts w:hint="eastAsia" w:ascii="宋体" w:hAnsi="宋体" w:eastAsia="仿宋_GB2312" w:cs="仿宋_GB2312"/>
          <w:color w:val="auto"/>
          <w:sz w:val="32"/>
          <w:szCs w:val="32"/>
          <w:lang w:eastAsia="zh-CN"/>
        </w:rPr>
        <w:t>赣州市社会保险服务中心</w:t>
      </w:r>
      <w:r>
        <w:rPr>
          <w:rFonts w:hint="eastAsia" w:ascii="宋体" w:hAnsi="宋体" w:eastAsia="仿宋_GB2312" w:cs="仿宋_GB2312"/>
          <w:color w:val="auto"/>
          <w:sz w:val="32"/>
          <w:szCs w:val="32"/>
        </w:rPr>
        <w:t>负责解释</w:t>
      </w:r>
      <w:r>
        <w:rPr>
          <w:rFonts w:hint="eastAsia" w:ascii="宋体" w:hAnsi="宋体" w:eastAsia="仿宋_GB2312" w:cs="仿宋_GB2312"/>
          <w:color w:val="auto"/>
          <w:sz w:val="32"/>
          <w:szCs w:val="32"/>
          <w:lang w:eastAsia="zh-CN"/>
        </w:rPr>
        <w:t>，全市社会保险经办机构</w:t>
      </w:r>
      <w:r>
        <w:rPr>
          <w:rFonts w:hint="eastAsia" w:ascii="宋体" w:hAnsi="宋体" w:eastAsia="仿宋_GB2312" w:cs="仿宋_GB2312"/>
          <w:color w:val="auto"/>
          <w:sz w:val="32"/>
          <w:szCs w:val="32"/>
        </w:rPr>
        <w:t>与合作银行共同遵照执行</w:t>
      </w:r>
      <w:r>
        <w:rPr>
          <w:rFonts w:hint="eastAsia" w:ascii="宋体" w:hAnsi="宋体" w:eastAsia="仿宋_GB2312" w:cs="仿宋_GB2312"/>
          <w:color w:val="auto"/>
          <w:sz w:val="32"/>
          <w:szCs w:val="32"/>
          <w:lang w:eastAsia="zh-CN"/>
        </w:rPr>
        <w:t>，</w:t>
      </w:r>
      <w:r>
        <w:rPr>
          <w:rFonts w:hint="eastAsia" w:ascii="宋体" w:hAnsi="宋体" w:eastAsia="仿宋_GB2312" w:cs="仿宋_GB2312"/>
          <w:color w:val="auto"/>
          <w:sz w:val="32"/>
          <w:szCs w:val="32"/>
          <w:lang w:val="en-US" w:eastAsia="zh-CN"/>
        </w:rPr>
        <w:t>可根据政策调整、业务变化及合作实际情况，经双方协商一致后修订完善</w:t>
      </w:r>
      <w:r>
        <w:rPr>
          <w:rFonts w:hint="eastAsia" w:ascii="宋体" w:hAnsi="宋体" w:eastAsia="仿宋_GB2312" w:cs="仿宋_GB2312"/>
          <w:color w:val="auto"/>
          <w:sz w:val="32"/>
          <w:szCs w:val="32"/>
        </w:rPr>
        <w:t>。</w:t>
      </w:r>
    </w:p>
    <w:p w14:paraId="2A76370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宋体" w:hAnsi="宋体" w:eastAsia="楷体_GB2312" w:cs="楷体_GB2312"/>
          <w:color w:val="auto"/>
          <w:sz w:val="32"/>
          <w:szCs w:val="32"/>
        </w:rPr>
        <w:t>第</w:t>
      </w:r>
      <w:r>
        <w:rPr>
          <w:rFonts w:hint="eastAsia" w:ascii="宋体" w:hAnsi="宋体" w:eastAsia="仿宋_GB2312" w:cs="仿宋_GB2312"/>
          <w:b/>
          <w:bCs/>
          <w:sz w:val="32"/>
          <w:szCs w:val="40"/>
          <w:lang w:eastAsia="zh-CN"/>
        </w:rPr>
        <w:t>三十八</w:t>
      </w:r>
      <w:r>
        <w:rPr>
          <w:rFonts w:hint="eastAsia" w:ascii="宋体" w:hAnsi="宋体" w:eastAsia="仿宋_GB2312" w:cs="仿宋_GB2312"/>
          <w:b/>
          <w:bCs/>
          <w:sz w:val="32"/>
          <w:szCs w:val="40"/>
        </w:rPr>
        <w:t>条</w:t>
      </w:r>
      <w:r>
        <w:rPr>
          <w:rFonts w:hint="eastAsia" w:ascii="宋体" w:hAnsi="宋体" w:eastAsia="仿宋_GB2312" w:cs="仿宋_GB2312"/>
          <w:b/>
          <w:bCs/>
          <w:sz w:val="32"/>
          <w:szCs w:val="40"/>
          <w:lang w:val="en-US" w:eastAsia="zh-CN"/>
        </w:rPr>
        <w:t xml:space="preserve"> </w:t>
      </w:r>
      <w:r>
        <w:rPr>
          <w:rFonts w:hint="eastAsia" w:ascii="宋体" w:hAnsi="宋体" w:eastAsia="楷体_GB2312" w:cs="楷体_GB2312"/>
          <w:color w:val="auto"/>
          <w:sz w:val="32"/>
          <w:szCs w:val="32"/>
          <w:lang w:val="en-US" w:eastAsia="zh-CN"/>
        </w:rPr>
        <w:t xml:space="preserve"> </w:t>
      </w:r>
      <w:r>
        <w:rPr>
          <w:rFonts w:hint="eastAsia" w:ascii="宋体" w:hAnsi="宋体" w:eastAsia="仿宋_GB2312" w:cs="仿宋_GB2312"/>
          <w:color w:val="auto"/>
          <w:sz w:val="32"/>
          <w:szCs w:val="32"/>
        </w:rPr>
        <w:t>本办法自印发之日起实施。</w:t>
      </w:r>
      <w:r>
        <w:rPr>
          <w:rFonts w:hint="eastAsia" w:ascii="宋体" w:hAnsi="宋体" w:eastAsia="仿宋_GB2312" w:cs="仿宋_GB2312"/>
          <w:color w:val="auto"/>
          <w:sz w:val="32"/>
          <w:szCs w:val="32"/>
          <w:lang w:eastAsia="zh-CN"/>
        </w:rPr>
        <w:t>社银合作双方已有约定，</w:t>
      </w:r>
      <w:r>
        <w:rPr>
          <w:rFonts w:hint="eastAsia" w:ascii="宋体" w:hAnsi="宋体" w:eastAsia="仿宋_GB2312" w:cs="仿宋_GB2312"/>
          <w:color w:val="auto"/>
          <w:sz w:val="32"/>
          <w:szCs w:val="32"/>
        </w:rPr>
        <w:t>与本办法不一致的，以本办法为准。</w:t>
      </w:r>
      <w:r>
        <w:rPr>
          <w:rFonts w:hint="eastAsia" w:ascii="宋体" w:hAnsi="宋体" w:eastAsia="仿宋_GB2312" w:cs="仿宋_GB2312"/>
          <w:color w:val="auto"/>
          <w:sz w:val="32"/>
          <w:szCs w:val="32"/>
          <w:lang w:eastAsia="zh-CN"/>
        </w:rPr>
        <w:t>（《办法》中所涉表单资料详见附件）。</w:t>
      </w:r>
    </w:p>
    <w:p w14:paraId="027FAE79">
      <w:pPr>
        <w:keepNext w:val="0"/>
        <w:keepLines w:val="0"/>
        <w:pageBreakBefore w:val="0"/>
        <w:widowControl w:val="0"/>
        <w:tabs>
          <w:tab w:val="left" w:pos="2591"/>
        </w:tabs>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2"/>
          <w:sz w:val="32"/>
          <w:szCs w:val="32"/>
          <w:lang w:val="en-US" w:eastAsia="zh-CN" w:bidi="ar-SA"/>
        </w:rPr>
        <w:t>附件1.</w:t>
      </w:r>
      <w:r>
        <w:rPr>
          <w:rFonts w:hint="eastAsia" w:ascii="仿宋_GB2312" w:hAnsi="仿宋_GB2312" w:eastAsia="仿宋_GB2312" w:cs="仿宋_GB2312"/>
          <w:color w:val="auto"/>
          <w:sz w:val="32"/>
          <w:szCs w:val="32"/>
        </w:rPr>
        <w:t>经办社保业务合作协议</w:t>
      </w:r>
    </w:p>
    <w:p w14:paraId="0ED5CCAF">
      <w:pPr>
        <w:keepNext w:val="0"/>
        <w:keepLines w:val="0"/>
        <w:pageBreakBefore w:val="0"/>
        <w:widowControl w:val="0"/>
        <w:tabs>
          <w:tab w:val="left" w:pos="2591"/>
        </w:tabs>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2"/>
          <w:sz w:val="32"/>
          <w:szCs w:val="32"/>
          <w:lang w:val="en-US" w:eastAsia="zh-CN" w:bidi="ar-SA"/>
        </w:rPr>
        <w:t>附件2.</w:t>
      </w:r>
      <w:r>
        <w:rPr>
          <w:rFonts w:hint="eastAsia" w:ascii="仿宋_GB2312" w:hAnsi="仿宋_GB2312" w:eastAsia="仿宋_GB2312" w:cs="仿宋_GB2312"/>
          <w:color w:val="auto"/>
          <w:sz w:val="32"/>
          <w:szCs w:val="32"/>
        </w:rPr>
        <w:t>社银合作便民服务点建设申报表</w:t>
      </w:r>
    </w:p>
    <w:p w14:paraId="7CDEC731">
      <w:pPr>
        <w:keepNext w:val="0"/>
        <w:keepLines w:val="0"/>
        <w:pageBreakBefore w:val="0"/>
        <w:widowControl w:val="0"/>
        <w:tabs>
          <w:tab w:val="left" w:pos="2591"/>
        </w:tabs>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附件</w:t>
      </w:r>
      <w:r>
        <w:rPr>
          <w:rFonts w:hint="eastAsia" w:ascii="仿宋_GB2312" w:hAnsi="仿宋_GB2312" w:eastAsia="仿宋_GB2312" w:cs="仿宋_GB2312"/>
          <w:color w:val="auto"/>
          <w:sz w:val="32"/>
          <w:szCs w:val="32"/>
          <w:lang w:val="en-US" w:eastAsia="zh-CN"/>
        </w:rPr>
        <w:t>3.保密承诺书</w:t>
      </w:r>
    </w:p>
    <w:p w14:paraId="74E7F208">
      <w:pPr>
        <w:keepNext w:val="0"/>
        <w:keepLines w:val="0"/>
        <w:pageBreakBefore w:val="0"/>
        <w:widowControl w:val="0"/>
        <w:tabs>
          <w:tab w:val="left" w:pos="2591"/>
        </w:tabs>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附件4.合作银行经办社保业务受理资料汇总表</w:t>
      </w:r>
    </w:p>
    <w:p w14:paraId="3211CDE1">
      <w:pPr>
        <w:keepNext w:val="0"/>
        <w:keepLines w:val="0"/>
        <w:pageBreakBefore w:val="0"/>
        <w:widowControl w:val="0"/>
        <w:tabs>
          <w:tab w:val="left" w:pos="2591"/>
        </w:tabs>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附件5.合作银行经办社保业务考核指导清单</w:t>
      </w:r>
    </w:p>
    <w:p w14:paraId="2F9A378D">
      <w:pPr>
        <w:keepNext w:val="0"/>
        <w:keepLines w:val="0"/>
        <w:pageBreakBefore w:val="0"/>
        <w:widowControl w:val="0"/>
        <w:tabs>
          <w:tab w:val="left" w:pos="2591"/>
        </w:tabs>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p>
    <w:p w14:paraId="2382BDA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仿宋_GB2312"/>
          <w:color w:val="auto"/>
          <w:sz w:val="32"/>
          <w:szCs w:val="32"/>
        </w:rPr>
      </w:pPr>
    </w:p>
    <w:p w14:paraId="33E8407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仿宋_GB2312"/>
          <w:color w:val="auto"/>
          <w:sz w:val="32"/>
          <w:szCs w:val="32"/>
        </w:rPr>
      </w:pPr>
    </w:p>
    <w:p w14:paraId="7F6BF35D">
      <w:pPr>
        <w:keepNext w:val="0"/>
        <w:keepLines w:val="0"/>
        <w:pageBreakBefore w:val="0"/>
        <w:widowControl w:val="0"/>
        <w:kinsoku/>
        <w:wordWrap/>
        <w:overflowPunct/>
        <w:topLinePunct w:val="0"/>
        <w:autoSpaceDE/>
        <w:autoSpaceDN/>
        <w:bidi w:val="0"/>
        <w:spacing w:line="560" w:lineRule="exact"/>
        <w:jc w:val="left"/>
        <w:textAlignment w:val="auto"/>
        <w:rPr>
          <w:rFonts w:hint="eastAsia" w:ascii="黑体" w:hAnsi="黑体" w:eastAsia="黑体" w:cs="黑体"/>
          <w:color w:val="auto"/>
          <w:sz w:val="32"/>
          <w:szCs w:val="32"/>
          <w:highlight w:val="none"/>
        </w:rPr>
        <w:sectPr>
          <w:footerReference r:id="rId3" w:type="default"/>
          <w:pgSz w:w="11906" w:h="16838"/>
          <w:pgMar w:top="2098" w:right="1474" w:bottom="1984" w:left="1587" w:header="851" w:footer="992" w:gutter="0"/>
          <w:pgNumType w:fmt="decimal" w:start="1"/>
          <w:cols w:space="720" w:num="1"/>
          <w:docGrid w:type="lines" w:linePitch="312" w:charSpace="0"/>
        </w:sectPr>
      </w:pPr>
    </w:p>
    <w:p w14:paraId="4EB93974">
      <w:pPr>
        <w:keepNext w:val="0"/>
        <w:keepLines w:val="0"/>
        <w:pageBreakBefore w:val="0"/>
        <w:widowControl w:val="0"/>
        <w:kinsoku/>
        <w:wordWrap/>
        <w:overflowPunct/>
        <w:topLinePunct w:val="0"/>
        <w:autoSpaceDE/>
        <w:autoSpaceDN/>
        <w:bidi w:val="0"/>
        <w:spacing w:line="560" w:lineRule="exact"/>
        <w:jc w:val="left"/>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rPr>
        <w:t>附件</w:t>
      </w:r>
      <w:r>
        <w:rPr>
          <w:rFonts w:hint="eastAsia" w:ascii="黑体" w:hAnsi="黑体" w:eastAsia="黑体" w:cs="黑体"/>
          <w:color w:val="auto"/>
          <w:sz w:val="32"/>
          <w:szCs w:val="32"/>
          <w:highlight w:val="none"/>
          <w:lang w:val="en-US" w:eastAsia="zh-CN"/>
        </w:rPr>
        <w:t>1</w:t>
      </w:r>
    </w:p>
    <w:p w14:paraId="2CB1B4E9">
      <w:pPr>
        <w:keepNext w:val="0"/>
        <w:keepLines w:val="0"/>
        <w:pageBreakBefore w:val="0"/>
        <w:widowControl w:val="0"/>
        <w:kinsoku/>
        <w:wordWrap/>
        <w:overflowPunct/>
        <w:topLinePunct w:val="0"/>
        <w:autoSpaceDE/>
        <w:autoSpaceDN/>
        <w:bidi w:val="0"/>
        <w:adjustRightInd w:val="0"/>
        <w:snapToGrid w:val="0"/>
        <w:spacing w:line="560" w:lineRule="exact"/>
        <w:ind w:left="0"/>
        <w:jc w:val="left"/>
        <w:textAlignment w:val="auto"/>
        <w:rPr>
          <w:rFonts w:hint="eastAsia" w:ascii="黑体" w:hAnsi="黑体" w:eastAsia="黑体" w:cs="黑体"/>
          <w:bCs/>
          <w:spacing w:val="-20"/>
          <w:sz w:val="32"/>
          <w:szCs w:val="32"/>
        </w:rPr>
      </w:pPr>
    </w:p>
    <w:p w14:paraId="1FAE28ED">
      <w:pPr>
        <w:keepNext w:val="0"/>
        <w:keepLines w:val="0"/>
        <w:pageBreakBefore w:val="0"/>
        <w:kinsoku/>
        <w:wordWrap/>
        <w:overflowPunct/>
        <w:topLinePunct w:val="0"/>
        <w:autoSpaceDE/>
        <w:autoSpaceDN/>
        <w:bidi w:val="0"/>
        <w:adjustRightInd w:val="0"/>
        <w:snapToGrid w:val="0"/>
        <w:spacing w:line="580" w:lineRule="exact"/>
        <w:ind w:left="0"/>
        <w:jc w:val="distribute"/>
        <w:textAlignment w:val="auto"/>
        <w:rPr>
          <w:rFonts w:hint="eastAsia" w:ascii="宋体" w:hAnsi="宋体" w:eastAsia="方正小标宋简体" w:cs="方正小标宋简体"/>
          <w:bCs/>
          <w:spacing w:val="-20"/>
          <w:sz w:val="44"/>
          <w:szCs w:val="44"/>
        </w:rPr>
      </w:pPr>
      <w:r>
        <w:rPr>
          <w:rFonts w:hint="eastAsia" w:ascii="宋体" w:hAnsi="宋体" w:eastAsia="方正小标宋简体" w:cs="方正小标宋简体"/>
          <w:bCs/>
          <w:spacing w:val="-20"/>
          <w:sz w:val="44"/>
          <w:szCs w:val="44"/>
        </w:rPr>
        <w:t>赣州市</w:t>
      </w:r>
      <w:r>
        <w:rPr>
          <w:rFonts w:ascii="宋体" w:hAnsi="宋体" w:eastAsia="方正小标宋简体" w:cs="方正小标宋简体"/>
          <w:bCs/>
          <w:spacing w:val="-20"/>
          <w:sz w:val="44"/>
          <w:szCs w:val="44"/>
        </w:rPr>
        <w:t>社会保险</w:t>
      </w:r>
      <w:r>
        <w:rPr>
          <w:rFonts w:hint="eastAsia" w:ascii="宋体" w:hAnsi="宋体" w:eastAsia="方正小标宋简体" w:cs="方正小标宋简体"/>
          <w:bCs/>
          <w:spacing w:val="-20"/>
          <w:sz w:val="44"/>
          <w:szCs w:val="44"/>
        </w:rPr>
        <w:t>服务中心</w:t>
      </w:r>
    </w:p>
    <w:p w14:paraId="3967AF7B">
      <w:pPr>
        <w:keepNext w:val="0"/>
        <w:keepLines w:val="0"/>
        <w:pageBreakBefore w:val="0"/>
        <w:kinsoku/>
        <w:wordWrap/>
        <w:overflowPunct/>
        <w:topLinePunct w:val="0"/>
        <w:autoSpaceDE/>
        <w:autoSpaceDN/>
        <w:bidi w:val="0"/>
        <w:adjustRightInd w:val="0"/>
        <w:snapToGrid w:val="0"/>
        <w:spacing w:line="580" w:lineRule="exact"/>
        <w:ind w:left="0"/>
        <w:jc w:val="distribute"/>
        <w:textAlignment w:val="auto"/>
        <w:rPr>
          <w:rFonts w:hint="eastAsia" w:ascii="宋体" w:hAnsi="宋体" w:eastAsia="方正小标宋简体" w:cs="方正小标宋简体"/>
          <w:szCs w:val="21"/>
        </w:rPr>
      </w:pPr>
      <w:r>
        <w:rPr>
          <w:rFonts w:hint="eastAsia" w:ascii="宋体" w:hAnsi="宋体" w:eastAsia="方正小标宋简体" w:cs="方正小标宋简体"/>
          <w:bCs/>
          <w:spacing w:val="-20"/>
          <w:sz w:val="44"/>
          <w:szCs w:val="44"/>
        </w:rPr>
        <w:t>XXXX银行股份有限公司赣州市分行</w:t>
      </w:r>
    </w:p>
    <w:p w14:paraId="3EB570D0">
      <w:pPr>
        <w:keepNext w:val="0"/>
        <w:keepLines w:val="0"/>
        <w:pageBreakBefore w:val="0"/>
        <w:widowControl w:val="0"/>
        <w:kinsoku/>
        <w:wordWrap/>
        <w:overflowPunct/>
        <w:topLinePunct w:val="0"/>
        <w:autoSpaceDE/>
        <w:autoSpaceDN/>
        <w:bidi w:val="0"/>
        <w:adjustRightInd/>
        <w:snapToGrid w:val="0"/>
        <w:spacing w:line="580" w:lineRule="exact"/>
        <w:ind w:left="0"/>
        <w:textAlignment w:val="auto"/>
        <w:rPr>
          <w:rFonts w:ascii="宋体" w:hAnsi="宋体" w:eastAsia="仿宋_GB2312"/>
          <w:spacing w:val="-20"/>
          <w:sz w:val="32"/>
          <w:szCs w:val="32"/>
        </w:rPr>
      </w:pPr>
    </w:p>
    <w:p w14:paraId="539C9FBF">
      <w:pPr>
        <w:keepNext w:val="0"/>
        <w:keepLines w:val="0"/>
        <w:pageBreakBefore w:val="0"/>
        <w:widowControl w:val="0"/>
        <w:kinsoku/>
        <w:wordWrap/>
        <w:overflowPunct/>
        <w:topLinePunct w:val="0"/>
        <w:autoSpaceDE/>
        <w:autoSpaceDN/>
        <w:bidi w:val="0"/>
        <w:adjustRightInd/>
        <w:snapToGrid w:val="0"/>
        <w:spacing w:line="580" w:lineRule="exact"/>
        <w:ind w:left="0"/>
        <w:textAlignment w:val="auto"/>
        <w:rPr>
          <w:rFonts w:ascii="宋体" w:hAnsi="宋体" w:eastAsia="仿宋_GB2312"/>
          <w:spacing w:val="-20"/>
          <w:sz w:val="32"/>
          <w:szCs w:val="32"/>
        </w:rPr>
      </w:pPr>
    </w:p>
    <w:p w14:paraId="327209EC">
      <w:pPr>
        <w:pStyle w:val="4"/>
        <w:keepNext w:val="0"/>
        <w:keepLines w:val="0"/>
        <w:pageBreakBefore w:val="0"/>
        <w:widowControl w:val="0"/>
        <w:kinsoku/>
        <w:wordWrap/>
        <w:overflowPunct/>
        <w:topLinePunct w:val="0"/>
        <w:autoSpaceDE/>
        <w:autoSpaceDN/>
        <w:bidi w:val="0"/>
        <w:adjustRightInd/>
        <w:spacing w:before="0" w:line="580" w:lineRule="exact"/>
        <w:ind w:left="0"/>
        <w:textAlignment w:val="auto"/>
        <w:rPr>
          <w:rFonts w:ascii="宋体" w:hAnsi="宋体"/>
        </w:rPr>
      </w:pPr>
    </w:p>
    <w:p w14:paraId="2D702E6B">
      <w:pPr>
        <w:keepNext w:val="0"/>
        <w:keepLines w:val="0"/>
        <w:pageBreakBefore w:val="0"/>
        <w:widowControl w:val="0"/>
        <w:kinsoku/>
        <w:wordWrap/>
        <w:overflowPunct/>
        <w:topLinePunct w:val="0"/>
        <w:autoSpaceDE/>
        <w:autoSpaceDN/>
        <w:bidi w:val="0"/>
        <w:adjustRightInd/>
        <w:snapToGrid w:val="0"/>
        <w:spacing w:line="580" w:lineRule="exact"/>
        <w:ind w:left="0"/>
        <w:textAlignment w:val="auto"/>
        <w:rPr>
          <w:rFonts w:ascii="宋体" w:hAnsi="宋体" w:eastAsia="仿宋_GB2312"/>
          <w:spacing w:val="-20"/>
          <w:sz w:val="32"/>
          <w:szCs w:val="32"/>
        </w:rPr>
      </w:pPr>
    </w:p>
    <w:p w14:paraId="39A0851E">
      <w:pPr>
        <w:keepNext w:val="0"/>
        <w:keepLines w:val="0"/>
        <w:pageBreakBefore w:val="0"/>
        <w:widowControl w:val="0"/>
        <w:kinsoku/>
        <w:wordWrap/>
        <w:overflowPunct/>
        <w:topLinePunct w:val="0"/>
        <w:autoSpaceDE/>
        <w:autoSpaceDN/>
        <w:bidi w:val="0"/>
        <w:adjustRightInd/>
        <w:snapToGrid w:val="0"/>
        <w:spacing w:line="580" w:lineRule="exact"/>
        <w:ind w:left="0"/>
        <w:textAlignment w:val="auto"/>
        <w:rPr>
          <w:rFonts w:ascii="宋体" w:hAnsi="宋体" w:eastAsia="仿宋_GB2312"/>
          <w:spacing w:val="-20"/>
          <w:sz w:val="32"/>
          <w:szCs w:val="32"/>
        </w:rPr>
      </w:pPr>
    </w:p>
    <w:p w14:paraId="20A10106">
      <w:pPr>
        <w:keepNext w:val="0"/>
        <w:keepLines w:val="0"/>
        <w:pageBreakBefore w:val="0"/>
        <w:kinsoku/>
        <w:wordWrap/>
        <w:overflowPunct/>
        <w:topLinePunct w:val="0"/>
        <w:autoSpaceDE/>
        <w:autoSpaceDN/>
        <w:bidi w:val="0"/>
        <w:ind w:left="0"/>
        <w:jc w:val="center"/>
        <w:textAlignment w:val="auto"/>
        <w:rPr>
          <w:rFonts w:hint="eastAsia" w:ascii="宋体" w:hAnsi="宋体" w:eastAsia="方正小标宋简体" w:cs="方正小标宋简体"/>
          <w:bCs/>
          <w:sz w:val="72"/>
          <w:szCs w:val="72"/>
        </w:rPr>
      </w:pPr>
      <w:r>
        <w:rPr>
          <w:rFonts w:hint="eastAsia" w:ascii="宋体" w:hAnsi="宋体" w:eastAsia="方正小标宋简体" w:cs="方正小标宋简体"/>
          <w:bCs/>
          <w:sz w:val="72"/>
          <w:szCs w:val="72"/>
        </w:rPr>
        <w:t>经办社保业务合作协议</w:t>
      </w:r>
    </w:p>
    <w:p w14:paraId="58908DF8">
      <w:pPr>
        <w:keepNext w:val="0"/>
        <w:keepLines w:val="0"/>
        <w:pageBreakBefore w:val="0"/>
        <w:widowControl w:val="0"/>
        <w:kinsoku/>
        <w:wordWrap/>
        <w:overflowPunct/>
        <w:topLinePunct w:val="0"/>
        <w:autoSpaceDE/>
        <w:autoSpaceDN/>
        <w:bidi w:val="0"/>
        <w:spacing w:line="580" w:lineRule="exact"/>
        <w:ind w:left="0"/>
        <w:jc w:val="left"/>
        <w:textAlignment w:val="auto"/>
        <w:rPr>
          <w:rFonts w:ascii="宋体" w:hAnsi="宋体" w:eastAsia="彩虹小标宋" w:cs="宋体"/>
          <w:kern w:val="0"/>
          <w:sz w:val="32"/>
          <w:szCs w:val="32"/>
          <w:lang w:val="zh-CN"/>
        </w:rPr>
      </w:pPr>
    </w:p>
    <w:p w14:paraId="7977E50E">
      <w:pPr>
        <w:pStyle w:val="4"/>
        <w:keepNext w:val="0"/>
        <w:keepLines w:val="0"/>
        <w:pageBreakBefore w:val="0"/>
        <w:widowControl w:val="0"/>
        <w:kinsoku/>
        <w:wordWrap/>
        <w:overflowPunct/>
        <w:topLinePunct w:val="0"/>
        <w:autoSpaceDE/>
        <w:autoSpaceDN/>
        <w:bidi w:val="0"/>
        <w:spacing w:before="0" w:line="580" w:lineRule="exact"/>
        <w:ind w:left="0"/>
        <w:jc w:val="left"/>
        <w:textAlignment w:val="auto"/>
        <w:rPr>
          <w:rFonts w:ascii="宋体" w:hAnsi="宋体"/>
        </w:rPr>
      </w:pPr>
    </w:p>
    <w:p w14:paraId="2FF22F2A">
      <w:pPr>
        <w:pStyle w:val="4"/>
        <w:keepNext w:val="0"/>
        <w:keepLines w:val="0"/>
        <w:pageBreakBefore w:val="0"/>
        <w:widowControl w:val="0"/>
        <w:kinsoku/>
        <w:wordWrap/>
        <w:overflowPunct/>
        <w:topLinePunct w:val="0"/>
        <w:autoSpaceDE/>
        <w:autoSpaceDN/>
        <w:bidi w:val="0"/>
        <w:spacing w:before="0" w:line="580" w:lineRule="exact"/>
        <w:ind w:left="0"/>
        <w:jc w:val="left"/>
        <w:textAlignment w:val="auto"/>
        <w:rPr>
          <w:rFonts w:ascii="宋体" w:hAnsi="宋体"/>
        </w:rPr>
      </w:pPr>
    </w:p>
    <w:p w14:paraId="6509000A">
      <w:pPr>
        <w:pStyle w:val="2"/>
        <w:keepNext w:val="0"/>
        <w:keepLines w:val="0"/>
        <w:pageBreakBefore w:val="0"/>
        <w:widowControl w:val="0"/>
        <w:kinsoku/>
        <w:wordWrap/>
        <w:overflowPunct/>
        <w:topLinePunct w:val="0"/>
        <w:autoSpaceDE/>
        <w:autoSpaceDN/>
        <w:bidi w:val="0"/>
        <w:spacing w:line="580" w:lineRule="exact"/>
        <w:ind w:left="0"/>
        <w:jc w:val="left"/>
        <w:textAlignment w:val="auto"/>
        <w:rPr>
          <w:rFonts w:hint="eastAsia" w:ascii="宋体" w:hAnsi="宋体"/>
          <w:lang w:val="zh-CN"/>
        </w:rPr>
      </w:pPr>
    </w:p>
    <w:p w14:paraId="1F32DED1">
      <w:pPr>
        <w:keepNext w:val="0"/>
        <w:keepLines w:val="0"/>
        <w:pageBreakBefore w:val="0"/>
        <w:widowControl w:val="0"/>
        <w:kinsoku/>
        <w:wordWrap/>
        <w:overflowPunct/>
        <w:topLinePunct w:val="0"/>
        <w:autoSpaceDE/>
        <w:autoSpaceDN/>
        <w:bidi w:val="0"/>
        <w:spacing w:line="580" w:lineRule="exact"/>
        <w:ind w:left="0"/>
        <w:jc w:val="left"/>
        <w:textAlignment w:val="auto"/>
        <w:rPr>
          <w:rFonts w:hint="eastAsia" w:ascii="宋体" w:hAnsi="宋体" w:eastAsia="彩虹小标宋" w:cs="宋体"/>
          <w:kern w:val="0"/>
          <w:sz w:val="32"/>
          <w:szCs w:val="32"/>
          <w:lang w:val="zh-CN"/>
        </w:rPr>
      </w:pPr>
    </w:p>
    <w:p w14:paraId="07D20EA5">
      <w:pPr>
        <w:keepNext w:val="0"/>
        <w:keepLines w:val="0"/>
        <w:pageBreakBefore w:val="0"/>
        <w:widowControl w:val="0"/>
        <w:kinsoku/>
        <w:wordWrap/>
        <w:overflowPunct/>
        <w:topLinePunct w:val="0"/>
        <w:autoSpaceDE/>
        <w:autoSpaceDN/>
        <w:bidi w:val="0"/>
        <w:spacing w:line="580" w:lineRule="exact"/>
        <w:ind w:left="0"/>
        <w:jc w:val="left"/>
        <w:textAlignment w:val="auto"/>
        <w:rPr>
          <w:rFonts w:hint="eastAsia" w:ascii="宋体" w:hAnsi="宋体" w:eastAsia="彩虹小标宋" w:cs="宋体"/>
          <w:kern w:val="0"/>
          <w:sz w:val="32"/>
          <w:szCs w:val="32"/>
          <w:lang w:val="zh-CN"/>
        </w:rPr>
      </w:pPr>
    </w:p>
    <w:p w14:paraId="11CD23CC">
      <w:pPr>
        <w:keepNext w:val="0"/>
        <w:keepLines w:val="0"/>
        <w:pageBreakBefore w:val="0"/>
        <w:widowControl w:val="0"/>
        <w:kinsoku/>
        <w:wordWrap/>
        <w:overflowPunct/>
        <w:topLinePunct w:val="0"/>
        <w:autoSpaceDE/>
        <w:autoSpaceDN/>
        <w:bidi w:val="0"/>
        <w:spacing w:line="580" w:lineRule="exact"/>
        <w:ind w:left="0"/>
        <w:jc w:val="left"/>
        <w:textAlignment w:val="auto"/>
        <w:rPr>
          <w:rFonts w:hint="eastAsia" w:ascii="宋体" w:hAnsi="宋体" w:eastAsia="方正小标宋简体" w:cs="方正小标宋简体"/>
          <w:kern w:val="0"/>
          <w:sz w:val="32"/>
          <w:szCs w:val="32"/>
          <w:lang w:val="zh-CN"/>
        </w:rPr>
      </w:pPr>
    </w:p>
    <w:p w14:paraId="7ADD391B">
      <w:pPr>
        <w:keepNext w:val="0"/>
        <w:keepLines w:val="0"/>
        <w:pageBreakBefore w:val="0"/>
        <w:widowControl w:val="0"/>
        <w:kinsoku/>
        <w:wordWrap/>
        <w:overflowPunct/>
        <w:topLinePunct w:val="0"/>
        <w:autoSpaceDE/>
        <w:autoSpaceDN/>
        <w:bidi w:val="0"/>
        <w:spacing w:line="580" w:lineRule="exact"/>
        <w:ind w:left="0"/>
        <w:jc w:val="left"/>
        <w:textAlignment w:val="auto"/>
        <w:rPr>
          <w:rFonts w:hint="eastAsia" w:ascii="宋体" w:hAnsi="宋体" w:eastAsia="方正小标宋简体" w:cs="方正小标宋简体"/>
          <w:kern w:val="0"/>
          <w:sz w:val="32"/>
          <w:szCs w:val="32"/>
          <w:lang w:val="zh-CN"/>
        </w:rPr>
      </w:pPr>
    </w:p>
    <w:p w14:paraId="14027992">
      <w:pPr>
        <w:keepNext w:val="0"/>
        <w:keepLines w:val="0"/>
        <w:pageBreakBefore w:val="0"/>
        <w:widowControl w:val="0"/>
        <w:kinsoku/>
        <w:wordWrap/>
        <w:overflowPunct/>
        <w:topLinePunct w:val="0"/>
        <w:autoSpaceDE/>
        <w:autoSpaceDN/>
        <w:bidi w:val="0"/>
        <w:adjustRightInd w:val="0"/>
        <w:snapToGrid w:val="0"/>
        <w:spacing w:line="580" w:lineRule="exact"/>
        <w:ind w:left="0"/>
        <w:jc w:val="left"/>
        <w:textAlignment w:val="auto"/>
        <w:rPr>
          <w:rFonts w:hint="eastAsia" w:ascii="宋体" w:hAnsi="宋体" w:eastAsia="方正小标宋简体" w:cs="方正小标宋简体"/>
          <w:sz w:val="32"/>
          <w:szCs w:val="32"/>
        </w:rPr>
      </w:pPr>
    </w:p>
    <w:p w14:paraId="07FBEB9C">
      <w:pPr>
        <w:pStyle w:val="4"/>
        <w:keepNext w:val="0"/>
        <w:keepLines w:val="0"/>
        <w:pageBreakBefore w:val="0"/>
        <w:widowControl w:val="0"/>
        <w:kinsoku/>
        <w:wordWrap/>
        <w:overflowPunct/>
        <w:topLinePunct w:val="0"/>
        <w:autoSpaceDE/>
        <w:autoSpaceDN/>
        <w:bidi w:val="0"/>
        <w:adjustRightInd/>
        <w:spacing w:before="0" w:line="580" w:lineRule="exact"/>
        <w:ind w:left="0"/>
        <w:jc w:val="center"/>
        <w:textAlignment w:val="auto"/>
        <w:rPr>
          <w:rFonts w:hint="eastAsia" w:ascii="宋体" w:hAnsi="宋体" w:eastAsia="仿宋_GB2312" w:cs="仿宋_GB2312"/>
          <w:sz w:val="10"/>
          <w:szCs w:val="10"/>
          <w:lang w:val="en-US" w:eastAsia="zh-CN"/>
        </w:rPr>
        <w:sectPr>
          <w:footerReference r:id="rId4" w:type="default"/>
          <w:pgSz w:w="11906" w:h="16838"/>
          <w:pgMar w:top="2098" w:right="1474" w:bottom="1984" w:left="1587" w:header="851" w:footer="992" w:gutter="0"/>
          <w:pgNumType w:fmt="decimal"/>
          <w:cols w:space="720" w:num="1"/>
          <w:docGrid w:type="lines" w:linePitch="312" w:charSpace="0"/>
        </w:sectPr>
      </w:pPr>
      <w:r>
        <w:rPr>
          <w:rFonts w:hint="eastAsia" w:ascii="宋体" w:hAnsi="宋体" w:eastAsia="楷体_GB2312" w:cs="楷体_GB2312"/>
          <w:sz w:val="36"/>
          <w:szCs w:val="36"/>
          <w:lang w:val="en-US"/>
        </w:rPr>
        <w:t>2025年+++月</w:t>
      </w:r>
    </w:p>
    <w:p w14:paraId="06BAF28E">
      <w:pPr>
        <w:keepNext w:val="0"/>
        <w:keepLines w:val="0"/>
        <w:pageBreakBefore w:val="0"/>
        <w:kinsoku/>
        <w:wordWrap/>
        <w:overflowPunct/>
        <w:topLinePunct w:val="0"/>
        <w:autoSpaceDE/>
        <w:autoSpaceDN/>
        <w:bidi w:val="0"/>
        <w:adjustRightInd/>
        <w:snapToGrid w:val="0"/>
        <w:spacing w:line="560" w:lineRule="exact"/>
        <w:ind w:left="0"/>
        <w:jc w:val="left"/>
        <w:textAlignment w:val="auto"/>
        <w:rPr>
          <w:rFonts w:hint="eastAsia" w:ascii="宋体" w:hAnsi="宋体" w:eastAsia="仿宋_GB2312" w:cs="仿宋_GB2312"/>
          <w:sz w:val="32"/>
          <w:szCs w:val="32"/>
        </w:rPr>
      </w:pPr>
      <w:r>
        <w:rPr>
          <w:rFonts w:hint="eastAsia" w:ascii="宋体" w:hAnsi="宋体" w:eastAsia="仿宋_GB2312" w:cs="仿宋_GB2312"/>
          <w:sz w:val="32"/>
          <w:szCs w:val="32"/>
        </w:rPr>
        <w:t>甲    方：赣州市社会保险服务中心</w:t>
      </w:r>
    </w:p>
    <w:p w14:paraId="03C79062">
      <w:pPr>
        <w:keepNext w:val="0"/>
        <w:keepLines w:val="0"/>
        <w:pageBreakBefore w:val="0"/>
        <w:kinsoku/>
        <w:wordWrap/>
        <w:overflowPunct/>
        <w:topLinePunct w:val="0"/>
        <w:autoSpaceDE/>
        <w:autoSpaceDN/>
        <w:bidi w:val="0"/>
        <w:adjustRightInd/>
        <w:snapToGrid w:val="0"/>
        <w:spacing w:line="560" w:lineRule="exact"/>
        <w:ind w:left="0"/>
        <w:jc w:val="left"/>
        <w:textAlignment w:val="auto"/>
        <w:rPr>
          <w:rFonts w:ascii="宋体" w:hAnsi="宋体" w:eastAsia="仿宋_GB2312" w:cs="仿宋_GB2312"/>
          <w:sz w:val="32"/>
          <w:szCs w:val="32"/>
        </w:rPr>
      </w:pPr>
      <w:r>
        <w:rPr>
          <w:rFonts w:hint="eastAsia" w:ascii="宋体" w:hAnsi="宋体" w:eastAsia="仿宋_GB2312" w:cs="仿宋_GB2312"/>
          <w:sz w:val="32"/>
          <w:szCs w:val="32"/>
        </w:rPr>
        <w:t>地    址：赣州市兴国路55号赣州人才集团大楼10楼</w:t>
      </w:r>
    </w:p>
    <w:p w14:paraId="30BF32BD">
      <w:pPr>
        <w:keepNext w:val="0"/>
        <w:keepLines w:val="0"/>
        <w:pageBreakBefore w:val="0"/>
        <w:kinsoku/>
        <w:wordWrap/>
        <w:overflowPunct/>
        <w:topLinePunct w:val="0"/>
        <w:autoSpaceDE/>
        <w:autoSpaceDN/>
        <w:bidi w:val="0"/>
        <w:adjustRightInd/>
        <w:snapToGrid w:val="0"/>
        <w:spacing w:line="560" w:lineRule="exact"/>
        <w:ind w:left="0" w:firstLine="640" w:firstLineChars="200"/>
        <w:jc w:val="left"/>
        <w:textAlignment w:val="auto"/>
        <w:rPr>
          <w:rFonts w:hint="eastAsia" w:ascii="宋体" w:hAnsi="宋体" w:eastAsia="仿宋_GB2312" w:cs="仿宋_GB2312"/>
          <w:sz w:val="32"/>
          <w:szCs w:val="32"/>
        </w:rPr>
      </w:pPr>
    </w:p>
    <w:p w14:paraId="79802B4E">
      <w:pPr>
        <w:keepNext w:val="0"/>
        <w:keepLines w:val="0"/>
        <w:pageBreakBefore w:val="0"/>
        <w:kinsoku/>
        <w:wordWrap/>
        <w:overflowPunct/>
        <w:topLinePunct w:val="0"/>
        <w:autoSpaceDE/>
        <w:autoSpaceDN/>
        <w:bidi w:val="0"/>
        <w:adjustRightInd/>
        <w:snapToGrid w:val="0"/>
        <w:spacing w:line="560" w:lineRule="exact"/>
        <w:ind w:left="0"/>
        <w:jc w:val="left"/>
        <w:textAlignment w:val="auto"/>
        <w:rPr>
          <w:rFonts w:hint="eastAsia" w:ascii="宋体" w:hAnsi="宋体" w:eastAsia="仿宋_GB2312" w:cs="仿宋_GB2312"/>
          <w:sz w:val="32"/>
          <w:szCs w:val="32"/>
        </w:rPr>
      </w:pPr>
      <w:r>
        <w:rPr>
          <w:rFonts w:hint="eastAsia" w:ascii="宋体" w:hAnsi="宋体" w:eastAsia="仿宋_GB2312" w:cs="仿宋_GB2312"/>
          <w:sz w:val="32"/>
          <w:szCs w:val="32"/>
        </w:rPr>
        <w:t>乙    方：XXXX银行股份有限公司赣州市分行</w:t>
      </w:r>
    </w:p>
    <w:p w14:paraId="16F1E67F">
      <w:pPr>
        <w:keepNext w:val="0"/>
        <w:keepLines w:val="0"/>
        <w:pageBreakBefore w:val="0"/>
        <w:kinsoku/>
        <w:wordWrap/>
        <w:overflowPunct/>
        <w:topLinePunct w:val="0"/>
        <w:autoSpaceDE/>
        <w:autoSpaceDN/>
        <w:bidi w:val="0"/>
        <w:adjustRightInd/>
        <w:snapToGrid w:val="0"/>
        <w:spacing w:line="560" w:lineRule="exact"/>
        <w:ind w:left="0"/>
        <w:jc w:val="left"/>
        <w:textAlignment w:val="auto"/>
        <w:rPr>
          <w:rFonts w:hint="eastAsia" w:ascii="宋体" w:hAnsi="宋体" w:eastAsia="仿宋_GB2312" w:cs="仿宋_GB2312"/>
          <w:sz w:val="32"/>
          <w:szCs w:val="32"/>
        </w:rPr>
      </w:pPr>
      <w:r>
        <w:rPr>
          <w:rFonts w:hint="eastAsia" w:ascii="宋体" w:hAnsi="宋体" w:eastAsia="仿宋_GB2312" w:cs="仿宋_GB2312"/>
          <w:sz w:val="32"/>
          <w:szCs w:val="32"/>
        </w:rPr>
        <w:t>地    址：</w:t>
      </w:r>
      <w:r>
        <w:rPr>
          <w:rFonts w:hint="eastAsia" w:ascii="宋体" w:hAnsi="宋体" w:eastAsia="仿宋_GB2312" w:cs="仿宋_GB2312"/>
          <w:sz w:val="32"/>
          <w:szCs w:val="32"/>
          <w:u w:val="single"/>
        </w:rPr>
        <w:t>XXXXXXXXXXXXXXXX</w:t>
      </w:r>
    </w:p>
    <w:p w14:paraId="5B6B7A61">
      <w:pPr>
        <w:keepNext w:val="0"/>
        <w:keepLines w:val="0"/>
        <w:pageBreakBefore w:val="0"/>
        <w:kinsoku/>
        <w:wordWrap/>
        <w:overflowPunct/>
        <w:topLinePunct w:val="0"/>
        <w:autoSpaceDE/>
        <w:autoSpaceDN/>
        <w:bidi w:val="0"/>
        <w:adjustRightInd/>
        <w:snapToGrid w:val="0"/>
        <w:spacing w:line="560" w:lineRule="exact"/>
        <w:ind w:left="0" w:firstLine="640" w:firstLineChars="200"/>
        <w:jc w:val="left"/>
        <w:textAlignment w:val="auto"/>
        <w:rPr>
          <w:rFonts w:hint="eastAsia" w:ascii="宋体" w:hAnsi="宋体" w:eastAsia="仿宋_GB2312" w:cs="仿宋_GB2312"/>
          <w:sz w:val="32"/>
          <w:szCs w:val="32"/>
        </w:rPr>
      </w:pPr>
    </w:p>
    <w:p w14:paraId="213342C4">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jc w:val="both"/>
        <w:textAlignment w:val="auto"/>
        <w:rPr>
          <w:rFonts w:hint="eastAsia" w:ascii="宋体" w:hAnsi="宋体" w:eastAsia="仿宋_GB2312" w:cs="仿宋_GB2312"/>
          <w:sz w:val="32"/>
          <w:szCs w:val="32"/>
        </w:rPr>
      </w:pPr>
      <w:r>
        <w:rPr>
          <w:rFonts w:hint="eastAsia" w:ascii="宋体" w:hAnsi="宋体" w:eastAsia="仿宋_GB2312" w:cs="仿宋_GB2312"/>
          <w:sz w:val="32"/>
          <w:szCs w:val="32"/>
        </w:rPr>
        <w:t>为贯彻《人力资源和社会保障部办公厅关于借助银行、基层平台等力量推进人社服务“就近办”的意见》（人社厅发〔2021〕19号）和《江西省人力资源和社会保障厅关于借助银行力量推进人社服务“就近办”的通知》（赣人社字〔2021〕268号）精神</w:t>
      </w:r>
      <w:r>
        <w:rPr>
          <w:rFonts w:hint="eastAsia" w:ascii="宋体" w:hAnsi="宋体" w:eastAsia="仿宋_GB2312" w:cs="仿宋_GB2312"/>
          <w:bCs/>
          <w:sz w:val="32"/>
          <w:szCs w:val="32"/>
        </w:rPr>
        <w:t>，</w:t>
      </w:r>
      <w:r>
        <w:rPr>
          <w:rFonts w:hint="eastAsia" w:ascii="宋体" w:hAnsi="宋体" w:eastAsia="仿宋_GB2312" w:cs="仿宋_GB2312"/>
          <w:sz w:val="32"/>
          <w:szCs w:val="32"/>
        </w:rPr>
        <w:t>探索公共服务多元化供给新机制，提高我市社保经办服务水平，根据《江西省人力资源和社会保障厅关于加快推进与银行合作办理人社服务工作的通知》（赣人社字〔2021〕318号），双方本着依法依规、平等自愿、便捷利民、安全规范的原则开展经办社保业务合作，经协商达成如下合作协议。</w:t>
      </w:r>
    </w:p>
    <w:p w14:paraId="4924BD13">
      <w:pPr>
        <w:keepNext w:val="0"/>
        <w:keepLines w:val="0"/>
        <w:pageBreakBefore w:val="0"/>
        <w:kinsoku/>
        <w:wordWrap/>
        <w:overflowPunct/>
        <w:topLinePunct w:val="0"/>
        <w:autoSpaceDE/>
        <w:autoSpaceDN/>
        <w:bidi w:val="0"/>
        <w:adjustRightInd/>
        <w:snapToGrid w:val="0"/>
        <w:spacing w:line="560" w:lineRule="exact"/>
        <w:ind w:left="0" w:firstLine="640" w:firstLineChars="200"/>
        <w:jc w:val="left"/>
        <w:textAlignment w:val="auto"/>
        <w:rPr>
          <w:rFonts w:hint="eastAsia" w:ascii="宋体" w:hAnsi="宋体" w:eastAsia="黑体" w:cs="黑体"/>
          <w:sz w:val="32"/>
          <w:szCs w:val="32"/>
        </w:rPr>
      </w:pPr>
      <w:r>
        <w:rPr>
          <w:rFonts w:hint="eastAsia" w:ascii="宋体" w:hAnsi="宋体" w:eastAsia="黑体" w:cs="黑体"/>
          <w:sz w:val="32"/>
          <w:szCs w:val="32"/>
        </w:rPr>
        <w:t xml:space="preserve">第一条 </w:t>
      </w:r>
      <w:r>
        <w:rPr>
          <w:rFonts w:hint="eastAsia" w:ascii="宋体" w:hAnsi="宋体" w:eastAsia="黑体" w:cs="黑体"/>
          <w:sz w:val="32"/>
          <w:szCs w:val="32"/>
          <w:lang w:val="en-US" w:eastAsia="zh-CN"/>
        </w:rPr>
        <w:t xml:space="preserve"> </w:t>
      </w:r>
      <w:r>
        <w:rPr>
          <w:rFonts w:hint="eastAsia" w:ascii="宋体" w:hAnsi="宋体" w:eastAsia="黑体" w:cs="黑体"/>
          <w:sz w:val="32"/>
          <w:szCs w:val="32"/>
        </w:rPr>
        <w:t>合作目标</w:t>
      </w:r>
    </w:p>
    <w:p w14:paraId="310725FA">
      <w:pPr>
        <w:keepNext w:val="0"/>
        <w:keepLines w:val="0"/>
        <w:pageBreakBefore w:val="0"/>
        <w:kinsoku/>
        <w:wordWrap/>
        <w:overflowPunct/>
        <w:topLinePunct w:val="0"/>
        <w:autoSpaceDE/>
        <w:autoSpaceDN/>
        <w:bidi w:val="0"/>
        <w:adjustRightInd/>
        <w:spacing w:line="560" w:lineRule="exact"/>
        <w:ind w:left="0"/>
        <w:textAlignment w:val="auto"/>
        <w:rPr>
          <w:rFonts w:hint="eastAsia" w:ascii="宋体" w:hAnsi="宋体" w:eastAsia="仿宋_GB2312" w:cs="仿宋_GB2312"/>
          <w:sz w:val="32"/>
          <w:szCs w:val="32"/>
        </w:rPr>
      </w:pPr>
      <w:r>
        <w:rPr>
          <w:rFonts w:hint="eastAsia" w:ascii="宋体" w:hAnsi="宋体" w:eastAsia="仿宋_GB2312" w:cs="仿宋_GB2312"/>
          <w:sz w:val="32"/>
          <w:szCs w:val="32"/>
        </w:rPr>
        <w:t>通过深化社银合作，充</w:t>
      </w:r>
      <w:r>
        <w:rPr>
          <w:rFonts w:hint="eastAsia" w:ascii="宋体" w:hAnsi="宋体" w:eastAsia="仿宋_GB2312" w:cs="仿宋_GB2312"/>
          <w:bCs/>
          <w:sz w:val="32"/>
          <w:szCs w:val="32"/>
        </w:rPr>
        <w:t>分利用银行网点资源和基层平台，</w:t>
      </w:r>
      <w:r>
        <w:rPr>
          <w:rFonts w:hint="eastAsia" w:ascii="宋体" w:hAnsi="宋体" w:eastAsia="仿宋_GB2312" w:cs="仿宋_GB2312"/>
          <w:sz w:val="32"/>
          <w:szCs w:val="32"/>
        </w:rPr>
        <w:t>构建“群众得便利、社保提效能、银行促发展”的合作格局，实现社保服务“就近办、银行办”，提升社保服务可及性及便捷性。打造社银合作暖心服务品牌，增强广大人民群众在社保领域的满意度。</w:t>
      </w:r>
    </w:p>
    <w:p w14:paraId="727863E4">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宋体" w:hAnsi="宋体" w:eastAsia="黑体" w:cs="黑体"/>
          <w:sz w:val="32"/>
          <w:szCs w:val="32"/>
        </w:rPr>
      </w:pPr>
      <w:r>
        <w:rPr>
          <w:rFonts w:hint="eastAsia" w:ascii="宋体" w:hAnsi="宋体" w:eastAsia="黑体" w:cs="黑体"/>
          <w:sz w:val="32"/>
          <w:szCs w:val="32"/>
        </w:rPr>
        <w:t>第二条</w:t>
      </w:r>
      <w:r>
        <w:rPr>
          <w:rFonts w:hint="eastAsia" w:ascii="宋体" w:hAnsi="宋体" w:eastAsia="黑体" w:cs="黑体"/>
          <w:sz w:val="32"/>
          <w:szCs w:val="32"/>
          <w:lang w:val="en-US" w:eastAsia="zh-CN"/>
        </w:rPr>
        <w:t xml:space="preserve"> </w:t>
      </w:r>
      <w:r>
        <w:rPr>
          <w:rFonts w:hint="eastAsia" w:ascii="宋体" w:hAnsi="宋体" w:eastAsia="黑体" w:cs="黑体"/>
          <w:sz w:val="32"/>
          <w:szCs w:val="32"/>
        </w:rPr>
        <w:t xml:space="preserve"> 合作内容</w:t>
      </w:r>
    </w:p>
    <w:p w14:paraId="68B3DEE6">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宋体" w:hAnsi="宋体" w:eastAsia="仿宋_GB2312" w:cs="仿宋_GB2312"/>
          <w:sz w:val="32"/>
          <w:szCs w:val="32"/>
        </w:rPr>
      </w:pPr>
      <w:r>
        <w:rPr>
          <w:rFonts w:hint="eastAsia" w:ascii="宋体" w:hAnsi="宋体" w:eastAsia="仿宋_GB2312" w:cs="仿宋_GB2312"/>
          <w:sz w:val="32"/>
          <w:szCs w:val="32"/>
        </w:rPr>
        <w:t>（一）乙方按照本协议约定，在符合条件的乙方XX支行等银行网点开设社保专窗（网点清单由双方另行确定），在开设有社保专窗的网点（以下简称合作网点）为企业和群众提供本协议约定范围内的社保经办服务。</w:t>
      </w:r>
    </w:p>
    <w:p w14:paraId="2F753E73">
      <w:pPr>
        <w:keepNext w:val="0"/>
        <w:keepLines w:val="0"/>
        <w:pageBreakBefore w:val="0"/>
        <w:kinsoku/>
        <w:wordWrap/>
        <w:overflowPunct/>
        <w:topLinePunct w:val="0"/>
        <w:autoSpaceDE/>
        <w:autoSpaceDN/>
        <w:bidi w:val="0"/>
        <w:adjustRightInd/>
        <w:snapToGrid w:val="0"/>
        <w:spacing w:line="560" w:lineRule="exact"/>
        <w:ind w:left="0" w:firstLine="640" w:firstLineChars="200"/>
        <w:jc w:val="left"/>
        <w:textAlignment w:val="auto"/>
        <w:rPr>
          <w:rFonts w:ascii="宋体" w:hAnsi="宋体" w:eastAsia="仿宋_GB2312" w:cs="仿宋_GB2312"/>
          <w:sz w:val="32"/>
          <w:szCs w:val="32"/>
        </w:rPr>
      </w:pPr>
      <w:r>
        <w:rPr>
          <w:rFonts w:hint="eastAsia" w:ascii="宋体" w:hAnsi="宋体" w:eastAsia="仿宋_GB2312" w:cs="仿宋_GB2312"/>
          <w:sz w:val="32"/>
          <w:szCs w:val="32"/>
        </w:rPr>
        <w:t>（二）乙方在符合条件的自助终端接入甲方社保功能，接入社保功能的终端（以下简称合作终端）对外提供社保自助服务。</w:t>
      </w:r>
    </w:p>
    <w:p w14:paraId="73B2484B">
      <w:pPr>
        <w:keepNext w:val="0"/>
        <w:keepLines w:val="0"/>
        <w:pageBreakBefore w:val="0"/>
        <w:kinsoku/>
        <w:wordWrap/>
        <w:overflowPunct/>
        <w:topLinePunct w:val="0"/>
        <w:autoSpaceDE/>
        <w:autoSpaceDN/>
        <w:bidi w:val="0"/>
        <w:adjustRightInd/>
        <w:snapToGrid w:val="0"/>
        <w:spacing w:line="560" w:lineRule="exact"/>
        <w:ind w:left="0" w:firstLine="640" w:firstLineChars="200"/>
        <w:jc w:val="left"/>
        <w:textAlignment w:val="auto"/>
        <w:rPr>
          <w:rFonts w:hint="eastAsia" w:ascii="宋体" w:hAnsi="宋体" w:eastAsia="仿宋_GB2312" w:cs="仿宋_GB2312"/>
          <w:sz w:val="32"/>
          <w:szCs w:val="32"/>
        </w:rPr>
      </w:pPr>
      <w:r>
        <w:rPr>
          <w:rFonts w:hint="eastAsia" w:ascii="宋体" w:hAnsi="宋体" w:eastAsia="仿宋_GB2312" w:cs="仿宋_GB2312"/>
          <w:sz w:val="32"/>
          <w:szCs w:val="32"/>
        </w:rPr>
        <w:t>（三）本协议履行过程中，乙方开设合作网点社保专窗、购置维护设备、连通网络、配备人员、宣传、培训、资料归档移送等全部运营成本及费用均由乙方自行承担。</w:t>
      </w:r>
    </w:p>
    <w:p w14:paraId="3D75063C">
      <w:pPr>
        <w:keepNext w:val="0"/>
        <w:keepLines w:val="0"/>
        <w:pageBreakBefore w:val="0"/>
        <w:kinsoku/>
        <w:wordWrap/>
        <w:overflowPunct/>
        <w:topLinePunct w:val="0"/>
        <w:autoSpaceDE/>
        <w:autoSpaceDN/>
        <w:bidi w:val="0"/>
        <w:adjustRightInd/>
        <w:snapToGrid w:val="0"/>
        <w:spacing w:line="560" w:lineRule="exact"/>
        <w:ind w:left="0" w:firstLine="640" w:firstLineChars="200"/>
        <w:jc w:val="left"/>
        <w:textAlignment w:val="auto"/>
        <w:rPr>
          <w:rFonts w:ascii="宋体" w:hAnsi="宋体" w:eastAsia="黑体" w:cs="黑体"/>
          <w:sz w:val="32"/>
          <w:szCs w:val="32"/>
        </w:rPr>
      </w:pPr>
      <w:r>
        <w:rPr>
          <w:rFonts w:hint="eastAsia" w:ascii="宋体" w:hAnsi="宋体" w:eastAsia="黑体" w:cs="黑体"/>
          <w:sz w:val="32"/>
          <w:szCs w:val="32"/>
        </w:rPr>
        <w:t xml:space="preserve">第三条 </w:t>
      </w:r>
      <w:r>
        <w:rPr>
          <w:rFonts w:hint="eastAsia" w:ascii="宋体" w:hAnsi="宋体" w:eastAsia="黑体" w:cs="黑体"/>
          <w:sz w:val="32"/>
          <w:szCs w:val="32"/>
          <w:lang w:val="en-US" w:eastAsia="zh-CN"/>
        </w:rPr>
        <w:t xml:space="preserve"> </w:t>
      </w:r>
      <w:r>
        <w:rPr>
          <w:rFonts w:hint="eastAsia" w:ascii="宋体" w:hAnsi="宋体" w:eastAsia="黑体" w:cs="黑体"/>
          <w:sz w:val="32"/>
          <w:szCs w:val="32"/>
        </w:rPr>
        <w:t>合作网点管理</w:t>
      </w:r>
    </w:p>
    <w:p w14:paraId="6F68A2D6">
      <w:pPr>
        <w:keepNext w:val="0"/>
        <w:keepLines w:val="0"/>
        <w:pageBreakBefore w:val="0"/>
        <w:kinsoku/>
        <w:wordWrap/>
        <w:overflowPunct/>
        <w:topLinePunct w:val="0"/>
        <w:autoSpaceDE/>
        <w:autoSpaceDN/>
        <w:bidi w:val="0"/>
        <w:adjustRightInd/>
        <w:spacing w:line="560" w:lineRule="exact"/>
        <w:ind w:left="0" w:firstLine="640" w:firstLineChars="200"/>
        <w:textAlignment w:val="auto"/>
        <w:rPr>
          <w:rFonts w:hint="eastAsia" w:ascii="宋体" w:hAnsi="宋体" w:eastAsia="仿宋_GB2312" w:cs="仿宋_GB2312"/>
          <w:sz w:val="32"/>
          <w:szCs w:val="32"/>
        </w:rPr>
      </w:pPr>
      <w:r>
        <w:rPr>
          <w:rFonts w:hint="eastAsia" w:ascii="宋体" w:hAnsi="宋体" w:eastAsia="仿宋_GB2312" w:cs="仿宋_GB2312"/>
          <w:sz w:val="32"/>
          <w:szCs w:val="32"/>
        </w:rPr>
        <w:t>（一）业务范围。合作网点社保专窗经办业务范围包括企业职工基本养老保险、城乡居民基本养老保险、工伤保险等，具体经办事项以甲方最终确认的赣州市《合作银行经办社保业务事项清单》为准。</w:t>
      </w:r>
    </w:p>
    <w:p w14:paraId="6C8DABEE">
      <w:pPr>
        <w:keepNext w:val="0"/>
        <w:keepLines w:val="0"/>
        <w:pageBreakBefore w:val="0"/>
        <w:kinsoku/>
        <w:wordWrap/>
        <w:overflowPunct/>
        <w:topLinePunct w:val="0"/>
        <w:autoSpaceDE/>
        <w:autoSpaceDN/>
        <w:bidi w:val="0"/>
        <w:adjustRightInd/>
        <w:spacing w:line="560" w:lineRule="exact"/>
        <w:ind w:left="0" w:firstLine="640" w:firstLineChars="200"/>
        <w:textAlignment w:val="auto"/>
        <w:rPr>
          <w:rFonts w:hint="eastAsia" w:ascii="宋体" w:hAnsi="宋体" w:eastAsia="仿宋_GB2312" w:cs="仿宋_GB2312"/>
          <w:sz w:val="32"/>
          <w:szCs w:val="32"/>
        </w:rPr>
      </w:pPr>
      <w:r>
        <w:rPr>
          <w:rFonts w:hint="eastAsia" w:ascii="宋体" w:hAnsi="宋体" w:eastAsia="仿宋_GB2312" w:cs="仿宋_GB2312"/>
          <w:sz w:val="32"/>
          <w:szCs w:val="32"/>
        </w:rPr>
        <w:t>（</w:t>
      </w:r>
      <w:r>
        <w:rPr>
          <w:rFonts w:hint="eastAsia" w:ascii="宋体" w:hAnsi="宋体" w:eastAsia="仿宋_GB2312" w:cs="仿宋_GB2312"/>
          <w:sz w:val="32"/>
          <w:szCs w:val="32"/>
          <w:lang w:val="en"/>
        </w:rPr>
        <w:t>二</w:t>
      </w:r>
      <w:r>
        <w:rPr>
          <w:rFonts w:hint="eastAsia" w:ascii="宋体" w:hAnsi="宋体" w:eastAsia="仿宋_GB2312" w:cs="仿宋_GB2312"/>
          <w:sz w:val="32"/>
          <w:szCs w:val="32"/>
        </w:rPr>
        <w:t>）网点条件。合作网点应配备满足经办社保业务需要的计算机、高拍仪、打印机等设备，应连通到人社的网络，专窗计算机可访问社保业务系统，应配备取号叫号设备，摆放服务指南、使用须知、办理流程、时限及监督服务电话等宣传材料</w:t>
      </w:r>
      <w:r>
        <w:rPr>
          <w:rFonts w:ascii="宋体" w:hAnsi="宋体" w:eastAsia="仿宋_GB2312" w:cs="仿宋_GB2312"/>
          <w:sz w:val="32"/>
          <w:szCs w:val="32"/>
        </w:rPr>
        <w:t>。</w:t>
      </w:r>
      <w:r>
        <w:rPr>
          <w:rFonts w:hint="eastAsia" w:ascii="宋体" w:hAnsi="宋体" w:eastAsia="仿宋_GB2312" w:cs="仿宋_GB2312"/>
          <w:sz w:val="32"/>
          <w:szCs w:val="32"/>
        </w:rPr>
        <w:t>应配备与岗位职责相适应的相对固定的经办人员，认真参加甲方组织的岗前培训和日常培训。合作网点应设置等候区、受理区、自助服务区，有条件的可设置网上办理区。</w:t>
      </w:r>
    </w:p>
    <w:p w14:paraId="10B26B7A">
      <w:pPr>
        <w:pStyle w:val="4"/>
        <w:keepNext w:val="0"/>
        <w:keepLines w:val="0"/>
        <w:pageBreakBefore w:val="0"/>
        <w:kinsoku/>
        <w:wordWrap/>
        <w:overflowPunct/>
        <w:topLinePunct w:val="0"/>
        <w:autoSpaceDE/>
        <w:autoSpaceDN/>
        <w:bidi w:val="0"/>
        <w:adjustRightInd/>
        <w:spacing w:before="0" w:line="560" w:lineRule="exact"/>
        <w:ind w:left="0" w:firstLine="640" w:firstLineChars="200"/>
        <w:textAlignment w:val="auto"/>
        <w:rPr>
          <w:rFonts w:ascii="宋体" w:hAnsi="宋体" w:eastAsia="仿宋_GB2312" w:cs="仿宋_GB2312"/>
          <w:lang w:val="en-US"/>
        </w:rPr>
      </w:pPr>
      <w:r>
        <w:rPr>
          <w:rFonts w:hint="eastAsia" w:ascii="宋体" w:hAnsi="宋体" w:eastAsia="仿宋_GB2312" w:cs="仿宋_GB2312"/>
          <w:lang w:val="en-US"/>
        </w:rPr>
        <w:t>（三）岗位设置。合作网点应设置管理岗、导办岗、经办岗、资料岗（统称合作网点经办人员）</w:t>
      </w:r>
      <w:r>
        <w:rPr>
          <w:rFonts w:ascii="宋体" w:hAnsi="宋体" w:eastAsia="仿宋_GB2312" w:cs="仿宋_GB2312"/>
        </w:rPr>
        <w:t>。</w:t>
      </w:r>
      <w:r>
        <w:rPr>
          <w:rFonts w:hint="eastAsia" w:ascii="宋体" w:hAnsi="宋体" w:eastAsia="仿宋_GB2312" w:cs="仿宋_GB2312"/>
          <w:lang w:val="en-US"/>
        </w:rPr>
        <w:t>管理岗负责管理合作网点的社保业务经办工作。导办岗负责在合作网点大堂协助办事人取号，指导填写办事表单，引导办事人至社保专窗、自助办理区或网上办理区</w:t>
      </w:r>
      <w:r>
        <w:rPr>
          <w:rFonts w:ascii="宋体" w:hAnsi="宋体" w:eastAsia="仿宋_GB2312" w:cs="仿宋_GB2312"/>
        </w:rPr>
        <w:t>办理业务</w:t>
      </w:r>
      <w:r>
        <w:rPr>
          <w:rFonts w:hint="eastAsia" w:ascii="宋体" w:hAnsi="宋体" w:eastAsia="仿宋_GB2312" w:cs="仿宋_GB2312"/>
          <w:lang w:val="en-US"/>
        </w:rPr>
        <w:t>，并提供自助办网上办操作指引服务。经办岗负责在社保专窗具体经办社保业务。资料岗负责整理业务材料并向甲方移交。</w:t>
      </w:r>
    </w:p>
    <w:p w14:paraId="554D4F67">
      <w:pPr>
        <w:pStyle w:val="5"/>
        <w:keepNext w:val="0"/>
        <w:keepLines w:val="0"/>
        <w:pageBreakBefore w:val="0"/>
        <w:kinsoku/>
        <w:wordWrap/>
        <w:overflowPunct/>
        <w:topLinePunct w:val="0"/>
        <w:autoSpaceDE/>
        <w:autoSpaceDN/>
        <w:bidi w:val="0"/>
        <w:adjustRightInd/>
        <w:spacing w:line="560" w:lineRule="exact"/>
        <w:ind w:left="0" w:firstLine="640" w:firstLineChars="200"/>
        <w:textAlignment w:val="auto"/>
        <w:rPr>
          <w:rFonts w:hint="eastAsia" w:ascii="宋体" w:hAnsi="宋体"/>
        </w:rPr>
      </w:pPr>
      <w:r>
        <w:rPr>
          <w:rFonts w:hint="eastAsia" w:ascii="宋体" w:hAnsi="宋体" w:eastAsia="仿宋_GB2312" w:cs="仿宋_GB2312"/>
          <w:sz w:val="32"/>
          <w:szCs w:val="32"/>
        </w:rPr>
        <w:t>（四）经办流程。经办岗人员在社保专窗通过叫号系统</w:t>
      </w:r>
      <w:r>
        <w:rPr>
          <w:rFonts w:ascii="宋体" w:hAnsi="宋体" w:eastAsia="仿宋_GB2312" w:cs="仿宋_GB2312"/>
          <w:sz w:val="32"/>
          <w:szCs w:val="32"/>
        </w:rPr>
        <w:t>取号顺序依次</w:t>
      </w:r>
      <w:r>
        <w:rPr>
          <w:rFonts w:hint="eastAsia" w:ascii="宋体" w:hAnsi="宋体" w:eastAsia="仿宋_GB2312" w:cs="仿宋_GB2312"/>
          <w:sz w:val="32"/>
          <w:szCs w:val="32"/>
        </w:rPr>
        <w:t>叫号</w:t>
      </w:r>
      <w:r>
        <w:rPr>
          <w:rFonts w:ascii="宋体" w:hAnsi="宋体" w:eastAsia="仿宋_GB2312" w:cs="仿宋_GB2312"/>
          <w:sz w:val="32"/>
          <w:szCs w:val="32"/>
        </w:rPr>
        <w:t>办理，特殊情况下需优先照顾老弱病残、孕妇等人群。</w:t>
      </w:r>
      <w:r>
        <w:rPr>
          <w:rFonts w:hint="eastAsia" w:ascii="宋体" w:hAnsi="宋体" w:eastAsia="仿宋_GB2312" w:cs="仿宋_GB2312"/>
          <w:sz w:val="32"/>
          <w:szCs w:val="32"/>
        </w:rPr>
        <w:t>按照业务经办标准和要求核实办事人身份及业务材料，无误后当场在社保业务系统准确录入业务信息，对业务资料进行影像化，确保受理信息与业务材料一致后，在系统上</w:t>
      </w:r>
      <w:r>
        <w:rPr>
          <w:rFonts w:ascii="宋体" w:hAnsi="宋体" w:eastAsia="仿宋_GB2312" w:cs="仿宋_GB2312"/>
          <w:sz w:val="32"/>
          <w:szCs w:val="32"/>
        </w:rPr>
        <w:t>上传电子材料</w:t>
      </w:r>
      <w:r>
        <w:rPr>
          <w:rFonts w:hint="eastAsia" w:ascii="宋体" w:hAnsi="宋体" w:eastAsia="仿宋_GB2312" w:cs="仿宋_GB2312"/>
          <w:sz w:val="32"/>
          <w:szCs w:val="32"/>
        </w:rPr>
        <w:t>并出具</w:t>
      </w:r>
      <w:r>
        <w:rPr>
          <w:rFonts w:ascii="宋体" w:hAnsi="宋体" w:eastAsia="仿宋_GB2312" w:cs="仿宋_GB2312"/>
          <w:sz w:val="32"/>
          <w:szCs w:val="32"/>
        </w:rPr>
        <w:t>受理</w:t>
      </w:r>
      <w:r>
        <w:rPr>
          <w:rFonts w:hint="eastAsia" w:ascii="宋体" w:hAnsi="宋体" w:eastAsia="仿宋_GB2312" w:cs="仿宋_GB2312"/>
          <w:sz w:val="32"/>
          <w:szCs w:val="32"/>
        </w:rPr>
        <w:t>回执。资料岗对影像化后的业务材料做好收集、归档、统计工作，填写资料汇总表，</w:t>
      </w:r>
      <w:r>
        <w:rPr>
          <w:rFonts w:ascii="宋体" w:hAnsi="宋体" w:eastAsia="仿宋_GB2312" w:cs="仿宋_GB2312"/>
          <w:sz w:val="32"/>
          <w:szCs w:val="32"/>
        </w:rPr>
        <w:t>定期</w:t>
      </w:r>
      <w:r>
        <w:rPr>
          <w:rFonts w:hint="eastAsia" w:ascii="宋体" w:hAnsi="宋体" w:eastAsia="仿宋_GB2312" w:cs="仿宋_GB2312"/>
          <w:sz w:val="32"/>
          <w:szCs w:val="32"/>
        </w:rPr>
        <w:t>与甲方做好</w:t>
      </w:r>
      <w:r>
        <w:rPr>
          <w:rFonts w:ascii="宋体" w:hAnsi="宋体" w:eastAsia="仿宋_GB2312" w:cs="仿宋_GB2312"/>
          <w:sz w:val="32"/>
          <w:szCs w:val="32"/>
        </w:rPr>
        <w:t>材料移送工作</w:t>
      </w:r>
      <w:r>
        <w:rPr>
          <w:rFonts w:hint="eastAsia" w:ascii="宋体" w:hAnsi="宋体" w:eastAsia="仿宋_GB2312" w:cs="仿宋_GB2312"/>
          <w:sz w:val="32"/>
          <w:szCs w:val="32"/>
        </w:rPr>
        <w:t>。</w:t>
      </w:r>
    </w:p>
    <w:p w14:paraId="302DD290">
      <w:pPr>
        <w:keepNext w:val="0"/>
        <w:keepLines w:val="0"/>
        <w:pageBreakBefore w:val="0"/>
        <w:kinsoku/>
        <w:wordWrap/>
        <w:overflowPunct/>
        <w:topLinePunct w:val="0"/>
        <w:autoSpaceDE/>
        <w:autoSpaceDN/>
        <w:bidi w:val="0"/>
        <w:adjustRightInd/>
        <w:spacing w:line="560" w:lineRule="exact"/>
        <w:ind w:left="0" w:firstLine="640" w:firstLineChars="200"/>
        <w:textAlignment w:val="auto"/>
        <w:rPr>
          <w:rFonts w:ascii="宋体" w:hAnsi="宋体"/>
          <w:highlight w:val="green"/>
        </w:rPr>
      </w:pPr>
      <w:r>
        <w:rPr>
          <w:rFonts w:hint="eastAsia" w:ascii="宋体" w:hAnsi="宋体" w:eastAsia="仿宋_GB2312" w:cs="仿宋_GB2312"/>
          <w:sz w:val="32"/>
          <w:szCs w:val="32"/>
        </w:rPr>
        <w:t>（五）申请程序。经双方协商后，乙方提出新增合作网点申请，甲方</w:t>
      </w:r>
      <w:r>
        <w:rPr>
          <w:rFonts w:ascii="宋体" w:hAnsi="宋体" w:eastAsia="仿宋_GB2312" w:cs="仿宋_GB2312"/>
          <w:sz w:val="32"/>
          <w:szCs w:val="32"/>
        </w:rPr>
        <w:t>对照网点条件</w:t>
      </w:r>
      <w:r>
        <w:rPr>
          <w:rFonts w:hint="eastAsia" w:ascii="宋体" w:hAnsi="宋体" w:eastAsia="仿宋_GB2312" w:cs="仿宋_GB2312"/>
          <w:sz w:val="32"/>
          <w:szCs w:val="32"/>
        </w:rPr>
        <w:t>对申请网点进行验收审核</w:t>
      </w:r>
      <w:r>
        <w:rPr>
          <w:rFonts w:ascii="宋体" w:hAnsi="宋体" w:eastAsia="仿宋_GB2312" w:cs="仿宋_GB2312"/>
          <w:sz w:val="32"/>
          <w:szCs w:val="32"/>
        </w:rPr>
        <w:t>，</w:t>
      </w:r>
      <w:r>
        <w:rPr>
          <w:rFonts w:hint="eastAsia" w:ascii="宋体" w:hAnsi="宋体" w:eastAsia="仿宋_GB2312" w:cs="仿宋_GB2312"/>
          <w:sz w:val="32"/>
          <w:szCs w:val="32"/>
        </w:rPr>
        <w:t>验收合格的，申请网点成为合作网点；验收不合格的，乙方需在10个工作日内完成整改，逾期未达标则取消该网点的申请资格。合作网点</w:t>
      </w:r>
      <w:r>
        <w:rPr>
          <w:rFonts w:ascii="宋体" w:hAnsi="宋体" w:eastAsia="仿宋_GB2312" w:cs="仿宋_GB2312"/>
          <w:sz w:val="32"/>
          <w:szCs w:val="32"/>
        </w:rPr>
        <w:t>需在</w:t>
      </w:r>
      <w:r>
        <w:rPr>
          <w:rFonts w:hint="eastAsia" w:ascii="宋体" w:hAnsi="宋体" w:eastAsia="仿宋_GB2312" w:cs="仿宋_GB2312"/>
          <w:sz w:val="32"/>
          <w:szCs w:val="32"/>
        </w:rPr>
        <w:t>显著位置悬挂规范的“社保服务合作网点”标牌，</w:t>
      </w:r>
      <w:r>
        <w:rPr>
          <w:rFonts w:ascii="宋体" w:hAnsi="宋体" w:eastAsia="仿宋_GB2312" w:cs="仿宋_GB2312"/>
          <w:sz w:val="32"/>
          <w:szCs w:val="32"/>
        </w:rPr>
        <w:t>并</w:t>
      </w:r>
      <w:r>
        <w:rPr>
          <w:rFonts w:hint="eastAsia" w:ascii="宋体" w:hAnsi="宋体" w:eastAsia="仿宋_GB2312" w:cs="仿宋_GB2312"/>
          <w:sz w:val="32"/>
          <w:szCs w:val="32"/>
        </w:rPr>
        <w:t>在社保专窗标示社会保险业务相关标识。</w:t>
      </w:r>
    </w:p>
    <w:p w14:paraId="22122B0E">
      <w:pPr>
        <w:keepNext w:val="0"/>
        <w:keepLines w:val="0"/>
        <w:pageBreakBefore w:val="0"/>
        <w:kinsoku/>
        <w:wordWrap/>
        <w:overflowPunct/>
        <w:topLinePunct w:val="0"/>
        <w:autoSpaceDE/>
        <w:autoSpaceDN/>
        <w:bidi w:val="0"/>
        <w:adjustRightInd/>
        <w:spacing w:line="560" w:lineRule="exact"/>
        <w:ind w:left="0" w:firstLine="640" w:firstLineChars="200"/>
        <w:textAlignment w:val="auto"/>
        <w:rPr>
          <w:rFonts w:hint="eastAsia" w:ascii="宋体" w:hAnsi="宋体" w:eastAsia="仿宋_GB2312" w:cs="仿宋_GB2312"/>
          <w:sz w:val="32"/>
          <w:szCs w:val="32"/>
        </w:rPr>
      </w:pPr>
      <w:r>
        <w:rPr>
          <w:rFonts w:hint="eastAsia" w:ascii="宋体" w:hAnsi="宋体" w:eastAsia="仿宋_GB2312" w:cs="仿宋_GB2312"/>
          <w:sz w:val="32"/>
          <w:szCs w:val="32"/>
        </w:rPr>
        <w:t>（六）权限管理。合作网点经办岗人员系统权限按照甲方权限管理规定进行管理，申请开通和变更权限的，填报甲方规范的权限申请表并加盖公章，由甲方按规定审核</w:t>
      </w:r>
      <w:r>
        <w:rPr>
          <w:rFonts w:ascii="宋体" w:hAnsi="宋体" w:eastAsia="仿宋_GB2312" w:cs="仿宋_GB2312"/>
          <w:sz w:val="32"/>
          <w:szCs w:val="32"/>
        </w:rPr>
        <w:t>后授权</w:t>
      </w:r>
      <w:r>
        <w:rPr>
          <w:rFonts w:hint="eastAsia" w:ascii="宋体" w:hAnsi="宋体" w:eastAsia="仿宋_GB2312" w:cs="仿宋_GB2312"/>
          <w:sz w:val="32"/>
          <w:szCs w:val="32"/>
        </w:rPr>
        <w:t>。合作网点经办岗人员离开经办岗位的，乙方需及时向甲方申请回收其经办权限并停止其经办账号的使用。甲方有权定期对合作网点经办岗人员账户和权限的使用情况进行检查，对连续三个月未登录的账户，甲方有权按程序注销或冻结相应权限。</w:t>
      </w:r>
    </w:p>
    <w:p w14:paraId="2249F279">
      <w:pPr>
        <w:keepNext w:val="0"/>
        <w:keepLines w:val="0"/>
        <w:pageBreakBefore w:val="0"/>
        <w:kinsoku/>
        <w:wordWrap/>
        <w:overflowPunct/>
        <w:topLinePunct w:val="0"/>
        <w:autoSpaceDE/>
        <w:autoSpaceDN/>
        <w:bidi w:val="0"/>
        <w:adjustRightInd/>
        <w:snapToGrid w:val="0"/>
        <w:spacing w:line="560" w:lineRule="exact"/>
        <w:ind w:left="0" w:firstLine="640" w:firstLineChars="200"/>
        <w:jc w:val="left"/>
        <w:textAlignment w:val="auto"/>
        <w:rPr>
          <w:rFonts w:ascii="宋体" w:hAnsi="宋体" w:eastAsia="黑体" w:cs="黑体"/>
          <w:sz w:val="32"/>
          <w:szCs w:val="32"/>
        </w:rPr>
      </w:pPr>
      <w:r>
        <w:rPr>
          <w:rFonts w:hint="eastAsia" w:ascii="宋体" w:hAnsi="宋体" w:eastAsia="黑体" w:cs="黑体"/>
          <w:sz w:val="32"/>
          <w:szCs w:val="32"/>
        </w:rPr>
        <w:t xml:space="preserve">第四条 </w:t>
      </w:r>
      <w:r>
        <w:rPr>
          <w:rFonts w:hint="eastAsia" w:ascii="宋体" w:hAnsi="宋体" w:eastAsia="黑体" w:cs="黑体"/>
          <w:sz w:val="32"/>
          <w:szCs w:val="32"/>
          <w:lang w:val="en-US" w:eastAsia="zh-CN"/>
        </w:rPr>
        <w:t xml:space="preserve"> </w:t>
      </w:r>
      <w:r>
        <w:rPr>
          <w:rFonts w:hint="eastAsia" w:ascii="宋体" w:hAnsi="宋体" w:eastAsia="黑体" w:cs="黑体"/>
          <w:sz w:val="32"/>
          <w:szCs w:val="32"/>
        </w:rPr>
        <w:t>合作终端管理</w:t>
      </w:r>
    </w:p>
    <w:p w14:paraId="0DF975C3">
      <w:pPr>
        <w:keepNext w:val="0"/>
        <w:keepLines w:val="0"/>
        <w:pageBreakBefore w:val="0"/>
        <w:kinsoku/>
        <w:wordWrap/>
        <w:overflowPunct/>
        <w:topLinePunct w:val="0"/>
        <w:autoSpaceDE/>
        <w:autoSpaceDN/>
        <w:bidi w:val="0"/>
        <w:adjustRightInd/>
        <w:snapToGrid w:val="0"/>
        <w:spacing w:line="560" w:lineRule="exact"/>
        <w:ind w:left="0" w:firstLine="640" w:firstLineChars="200"/>
        <w:jc w:val="left"/>
        <w:textAlignment w:val="auto"/>
        <w:rPr>
          <w:rFonts w:hint="eastAsia" w:ascii="宋体" w:hAnsi="宋体" w:eastAsia="仿宋_GB2312" w:cs="仿宋_GB2312"/>
          <w:sz w:val="32"/>
          <w:szCs w:val="32"/>
        </w:rPr>
      </w:pPr>
      <w:r>
        <w:rPr>
          <w:rFonts w:hint="eastAsia" w:ascii="宋体" w:hAnsi="宋体" w:eastAsia="仿宋_GB2312" w:cs="仿宋_GB2312"/>
          <w:sz w:val="32"/>
          <w:szCs w:val="32"/>
        </w:rPr>
        <w:t>（一）业务范围。合作终端经办业务范围包括信息查询打印、个人参保登记、个人信息变更、养老资格认证、企业业务等，具体经办事项以甲方最终确认的赣州市《合作银行自助终端社保业务事项清单》为准。合作终端应将社保功能入口置于操作界面醒目位置，终端附近位置应摆放事项清单、使用须知等宣传材料。</w:t>
      </w:r>
    </w:p>
    <w:p w14:paraId="68A90C91">
      <w:pPr>
        <w:keepNext w:val="0"/>
        <w:keepLines w:val="0"/>
        <w:pageBreakBefore w:val="0"/>
        <w:kinsoku/>
        <w:wordWrap/>
        <w:overflowPunct/>
        <w:topLinePunct w:val="0"/>
        <w:autoSpaceDE/>
        <w:autoSpaceDN/>
        <w:bidi w:val="0"/>
        <w:adjustRightInd/>
        <w:snapToGrid w:val="0"/>
        <w:spacing w:line="560" w:lineRule="exact"/>
        <w:ind w:left="0" w:firstLine="640" w:firstLineChars="200"/>
        <w:jc w:val="left"/>
        <w:textAlignment w:val="auto"/>
        <w:rPr>
          <w:rFonts w:hint="eastAsia" w:ascii="宋体" w:hAnsi="宋体" w:eastAsia="仿宋_GB2312" w:cs="仿宋_GB2312"/>
          <w:sz w:val="32"/>
          <w:szCs w:val="32"/>
        </w:rPr>
      </w:pPr>
      <w:r>
        <w:rPr>
          <w:rFonts w:hint="eastAsia" w:ascii="宋体" w:hAnsi="宋体" w:eastAsia="仿宋_GB2312" w:cs="仿宋_GB2312"/>
          <w:sz w:val="32"/>
          <w:szCs w:val="32"/>
        </w:rPr>
        <w:t>（二）终端条件。合作终端应连通到人社的网络，并具备触摸显示一体屏、身份证阅读器、社保卡读卡器或二维码扫描仪及A4打印机等硬件外设，以支持办事人通过身份证、社保卡或电子社保卡作为身份凭证自助办理社保业务。</w:t>
      </w:r>
    </w:p>
    <w:p w14:paraId="18F5FFE3">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jc w:val="left"/>
        <w:textAlignment w:val="auto"/>
        <w:rPr>
          <w:rFonts w:hint="eastAsia" w:ascii="宋体" w:hAnsi="宋体" w:eastAsia="仿宋_GB2312" w:cs="仿宋_GB2312"/>
          <w:sz w:val="32"/>
          <w:szCs w:val="32"/>
        </w:rPr>
      </w:pPr>
      <w:r>
        <w:rPr>
          <w:rFonts w:hint="eastAsia" w:ascii="宋体" w:hAnsi="宋体" w:eastAsia="仿宋_GB2312" w:cs="仿宋_GB2312"/>
          <w:sz w:val="32"/>
          <w:szCs w:val="32"/>
        </w:rPr>
        <w:t>（三）申请程序。经双方协商后，乙方提出新增银行终端申请并填写对应终端信息采集表，甲方对申请终端的相关信息进行确认并完成备案登记后，申请终端成为合作终端。</w:t>
      </w:r>
    </w:p>
    <w:p w14:paraId="120D0BEA">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jc w:val="left"/>
        <w:textAlignment w:val="auto"/>
        <w:rPr>
          <w:rFonts w:ascii="宋体" w:hAnsi="宋体" w:eastAsia="黑体" w:cs="黑体"/>
          <w:sz w:val="32"/>
          <w:szCs w:val="32"/>
        </w:rPr>
      </w:pPr>
      <w:r>
        <w:rPr>
          <w:rFonts w:hint="eastAsia" w:ascii="宋体" w:hAnsi="宋体" w:eastAsia="黑体" w:cs="黑体"/>
          <w:sz w:val="32"/>
          <w:szCs w:val="32"/>
        </w:rPr>
        <w:t xml:space="preserve">第五条 </w:t>
      </w:r>
      <w:r>
        <w:rPr>
          <w:rFonts w:hint="eastAsia" w:ascii="宋体" w:hAnsi="宋体" w:eastAsia="黑体" w:cs="黑体"/>
          <w:sz w:val="32"/>
          <w:szCs w:val="32"/>
          <w:lang w:val="en-US" w:eastAsia="zh-CN"/>
        </w:rPr>
        <w:t xml:space="preserve"> </w:t>
      </w:r>
      <w:r>
        <w:rPr>
          <w:rFonts w:hint="eastAsia" w:ascii="宋体" w:hAnsi="宋体" w:eastAsia="黑体" w:cs="黑体"/>
          <w:sz w:val="32"/>
          <w:szCs w:val="32"/>
        </w:rPr>
        <w:t>服务要求</w:t>
      </w:r>
    </w:p>
    <w:p w14:paraId="327C089F">
      <w:pPr>
        <w:pStyle w:val="4"/>
        <w:keepNext w:val="0"/>
        <w:keepLines w:val="0"/>
        <w:pageBreakBefore w:val="0"/>
        <w:widowControl w:val="0"/>
        <w:kinsoku/>
        <w:wordWrap/>
        <w:overflowPunct/>
        <w:topLinePunct w:val="0"/>
        <w:autoSpaceDE/>
        <w:autoSpaceDN/>
        <w:bidi w:val="0"/>
        <w:adjustRightInd/>
        <w:spacing w:before="0" w:line="560" w:lineRule="exact"/>
        <w:ind w:left="0" w:firstLine="640" w:firstLineChars="200"/>
        <w:textAlignment w:val="auto"/>
        <w:rPr>
          <w:rFonts w:hint="eastAsia" w:ascii="宋体" w:hAnsi="宋体" w:eastAsia="仿宋_GB2312" w:cs="仿宋_GB2312"/>
          <w:lang w:val="en-US"/>
        </w:rPr>
      </w:pPr>
      <w:r>
        <w:rPr>
          <w:rFonts w:hint="eastAsia" w:ascii="宋体" w:hAnsi="宋体" w:eastAsia="仿宋_GB2312" w:cs="仿宋_GB2312"/>
          <w:lang w:val="en-US"/>
        </w:rPr>
        <w:t>（一）时间要求。合作网点社保专窗服务时间</w:t>
      </w:r>
      <w:r>
        <w:rPr>
          <w:rFonts w:ascii="宋体" w:hAnsi="宋体" w:eastAsia="仿宋_GB2312" w:cs="仿宋_GB2312"/>
        </w:rPr>
        <w:t>原则上</w:t>
      </w:r>
      <w:r>
        <w:rPr>
          <w:rFonts w:hint="eastAsia" w:ascii="宋体" w:hAnsi="宋体" w:eastAsia="仿宋_GB2312" w:cs="仿宋_GB2312"/>
          <w:lang w:val="en-US"/>
        </w:rPr>
        <w:t>应与甲方向社会公示的服务时间保持一致，每日下午可根据乙方营业时间实际减少一小时。合作网点社保专窗应</w:t>
      </w:r>
      <w:r>
        <w:rPr>
          <w:rFonts w:hint="eastAsia" w:ascii="宋体" w:hAnsi="宋体" w:eastAsia="仿宋_GB2312" w:cs="仿宋_GB2312"/>
        </w:rPr>
        <w:t>适时</w:t>
      </w:r>
      <w:r>
        <w:rPr>
          <w:rFonts w:ascii="宋体" w:hAnsi="宋体" w:eastAsia="仿宋_GB2312" w:cs="仿宋_GB2312"/>
        </w:rPr>
        <w:t>开展</w:t>
      </w:r>
      <w:r>
        <w:rPr>
          <w:rFonts w:hint="eastAsia" w:ascii="宋体" w:hAnsi="宋体" w:eastAsia="仿宋_GB2312" w:cs="仿宋_GB2312"/>
        </w:rPr>
        <w:t>午间服务、节假日服务和特殊群体上门服务。</w:t>
      </w:r>
      <w:r>
        <w:rPr>
          <w:rFonts w:hint="eastAsia" w:ascii="宋体" w:hAnsi="宋体" w:eastAsia="仿宋_GB2312" w:cs="仿宋_GB2312"/>
          <w:lang w:val="en-US"/>
        </w:rPr>
        <w:t>乙方应在对社会公示的营业时间内提供社保自助服务。</w:t>
      </w:r>
    </w:p>
    <w:p w14:paraId="77F84181">
      <w:pPr>
        <w:pStyle w:val="4"/>
        <w:keepNext w:val="0"/>
        <w:keepLines w:val="0"/>
        <w:pageBreakBefore w:val="0"/>
        <w:widowControl w:val="0"/>
        <w:kinsoku/>
        <w:wordWrap/>
        <w:overflowPunct/>
        <w:topLinePunct w:val="0"/>
        <w:autoSpaceDE/>
        <w:autoSpaceDN/>
        <w:bidi w:val="0"/>
        <w:adjustRightInd/>
        <w:snapToGrid/>
        <w:spacing w:before="0" w:line="560" w:lineRule="exact"/>
        <w:ind w:left="0" w:firstLine="640" w:firstLineChars="200"/>
        <w:textAlignment w:val="auto"/>
        <w:rPr>
          <w:rFonts w:ascii="宋体" w:hAnsi="宋体" w:eastAsia="仿宋_GB2312" w:cs="仿宋_GB2312"/>
          <w:lang w:val="en-US"/>
        </w:rPr>
      </w:pPr>
      <w:r>
        <w:rPr>
          <w:rFonts w:hint="eastAsia" w:ascii="宋体" w:hAnsi="宋体" w:eastAsia="仿宋_GB2312" w:cs="仿宋_GB2312"/>
          <w:lang w:val="en-US"/>
        </w:rPr>
        <w:t>（二）号量要求。甲方将合作网点纳入我市社保预约体系，对合作网点预约、取号、叫号情况进行统一管理。合作网点预约号量应与甲方</w:t>
      </w:r>
      <w:r>
        <w:rPr>
          <w:rFonts w:ascii="宋体" w:hAnsi="宋体" w:eastAsia="仿宋_GB2312" w:cs="仿宋_GB2312"/>
          <w:lang w:val="en-US"/>
        </w:rPr>
        <w:t>服务点的</w:t>
      </w:r>
      <w:r>
        <w:rPr>
          <w:rFonts w:hint="eastAsia" w:ascii="宋体" w:hAnsi="宋体" w:eastAsia="仿宋_GB2312" w:cs="仿宋_GB2312"/>
          <w:lang w:val="en-US"/>
        </w:rPr>
        <w:t>平均量保持一致，具体由双方协商实施。甲方应将合作网点</w:t>
      </w:r>
      <w:r>
        <w:rPr>
          <w:rFonts w:ascii="宋体" w:hAnsi="宋体" w:eastAsia="仿宋_GB2312" w:cs="仿宋_GB2312"/>
          <w:lang w:val="en-US"/>
        </w:rPr>
        <w:t>信息</w:t>
      </w:r>
      <w:r>
        <w:rPr>
          <w:rFonts w:hint="eastAsia" w:ascii="宋体" w:hAnsi="宋体" w:eastAsia="仿宋_GB2312" w:cs="仿宋_GB2312"/>
          <w:lang w:val="en-US"/>
        </w:rPr>
        <w:t>登记在社保系统和社保电子地图，实行统一管理，供办事人查询、预约。</w:t>
      </w:r>
    </w:p>
    <w:p w14:paraId="7EE8721F">
      <w:pPr>
        <w:pStyle w:val="5"/>
        <w:keepNext w:val="0"/>
        <w:keepLines w:val="0"/>
        <w:pageBreakBefore w:val="0"/>
        <w:kinsoku/>
        <w:wordWrap/>
        <w:overflowPunct/>
        <w:topLinePunct w:val="0"/>
        <w:autoSpaceDE/>
        <w:autoSpaceDN/>
        <w:bidi w:val="0"/>
        <w:adjustRightInd/>
        <w:spacing w:line="560" w:lineRule="exact"/>
        <w:ind w:left="0" w:firstLine="640" w:firstLineChars="200"/>
        <w:textAlignment w:val="auto"/>
        <w:rPr>
          <w:rFonts w:ascii="宋体" w:hAnsi="宋体" w:eastAsia="仿宋_GB2312" w:cs="仿宋_GB2312"/>
          <w:sz w:val="32"/>
          <w:szCs w:val="32"/>
          <w:highlight w:val="yellow"/>
        </w:rPr>
      </w:pPr>
      <w:r>
        <w:rPr>
          <w:rFonts w:hint="eastAsia" w:ascii="宋体" w:hAnsi="宋体" w:eastAsia="仿宋_GB2312" w:cs="仿宋_GB2312"/>
          <w:sz w:val="32"/>
          <w:szCs w:val="32"/>
        </w:rPr>
        <w:t>（三）经办要求。合作网点</w:t>
      </w:r>
      <w:r>
        <w:rPr>
          <w:rFonts w:ascii="宋体" w:hAnsi="宋体" w:eastAsia="仿宋_GB2312" w:cs="仿宋_GB2312"/>
          <w:sz w:val="32"/>
          <w:szCs w:val="32"/>
        </w:rPr>
        <w:t>在经办过程中</w:t>
      </w:r>
      <w:r>
        <w:rPr>
          <w:rFonts w:hint="eastAsia" w:ascii="宋体" w:hAnsi="宋体" w:eastAsia="仿宋_GB2312" w:cs="仿宋_GB2312"/>
          <w:sz w:val="32"/>
          <w:szCs w:val="32"/>
        </w:rPr>
        <w:t>应</w:t>
      </w:r>
      <w:r>
        <w:rPr>
          <w:rFonts w:ascii="宋体" w:hAnsi="宋体" w:eastAsia="仿宋_GB2312" w:cs="仿宋_GB2312"/>
          <w:sz w:val="32"/>
          <w:szCs w:val="32"/>
        </w:rPr>
        <w:t>严格遵守</w:t>
      </w:r>
      <w:r>
        <w:rPr>
          <w:rFonts w:hint="eastAsia" w:ascii="宋体" w:hAnsi="宋体" w:eastAsia="仿宋_GB2312" w:cs="仿宋_GB2312"/>
          <w:sz w:val="32"/>
          <w:szCs w:val="32"/>
        </w:rPr>
        <w:t>社保法律法规、业务经办规程等</w:t>
      </w:r>
      <w:r>
        <w:rPr>
          <w:rFonts w:ascii="宋体" w:hAnsi="宋体" w:eastAsia="仿宋_GB2312" w:cs="仿宋_GB2312"/>
          <w:sz w:val="32"/>
          <w:szCs w:val="32"/>
        </w:rPr>
        <w:t>相关</w:t>
      </w:r>
      <w:r>
        <w:rPr>
          <w:rFonts w:hint="eastAsia" w:ascii="宋体" w:hAnsi="宋体" w:eastAsia="仿宋_GB2312" w:cs="仿宋_GB2312"/>
          <w:sz w:val="32"/>
          <w:szCs w:val="32"/>
        </w:rPr>
        <w:t>规定，按照首问负责、AB岗、一次性告知、限时办结等工作制度要求，受理、办理办事人申请的社保业务。合作网点经办人员不得无故拒绝、推诿、拖延办事人的合理申请，避免因服务不到位而引发投诉。经办人员对于不能当场办理的，应说明不能当场办理的原因</w:t>
      </w:r>
      <w:r>
        <w:rPr>
          <w:rFonts w:ascii="宋体" w:hAnsi="宋体" w:eastAsia="仿宋_GB2312" w:cs="仿宋_GB2312"/>
          <w:sz w:val="32"/>
          <w:szCs w:val="32"/>
        </w:rPr>
        <w:t>，并</w:t>
      </w:r>
      <w:r>
        <w:rPr>
          <w:rFonts w:hint="eastAsia" w:ascii="宋体" w:hAnsi="宋体" w:eastAsia="仿宋_GB2312" w:cs="仿宋_GB2312"/>
          <w:sz w:val="32"/>
          <w:szCs w:val="32"/>
        </w:rPr>
        <w:t>一次性告知需补办的手续、材料、办理程序和服务电话。合作网点经办人员应仪容仪表端庄、着装整洁大方、举止文明规范、用语礼貌亲切，展示双方良好形象。乙方应积极做好合作终端社保功能宣传工作，主动指引办事人到合作终端办理社保业务。</w:t>
      </w:r>
    </w:p>
    <w:p w14:paraId="3E7CB30F">
      <w:pPr>
        <w:keepNext w:val="0"/>
        <w:keepLines w:val="0"/>
        <w:pageBreakBefore w:val="0"/>
        <w:kinsoku/>
        <w:wordWrap/>
        <w:overflowPunct/>
        <w:topLinePunct w:val="0"/>
        <w:autoSpaceDE/>
        <w:autoSpaceDN/>
        <w:bidi w:val="0"/>
        <w:adjustRightInd/>
        <w:spacing w:line="560" w:lineRule="exact"/>
        <w:ind w:left="0" w:firstLine="640" w:firstLineChars="200"/>
        <w:textAlignment w:val="auto"/>
        <w:rPr>
          <w:rFonts w:ascii="宋体" w:hAnsi="宋体" w:eastAsia="黑体" w:cs="黑体"/>
          <w:sz w:val="32"/>
          <w:szCs w:val="32"/>
        </w:rPr>
      </w:pPr>
      <w:r>
        <w:rPr>
          <w:rFonts w:hint="eastAsia" w:ascii="宋体" w:hAnsi="宋体" w:eastAsia="黑体" w:cs="黑体"/>
          <w:sz w:val="32"/>
          <w:szCs w:val="32"/>
        </w:rPr>
        <w:t>第六条</w:t>
      </w:r>
      <w:r>
        <w:rPr>
          <w:rFonts w:hint="eastAsia" w:ascii="宋体" w:hAnsi="宋体" w:eastAsia="黑体" w:cs="黑体"/>
          <w:sz w:val="32"/>
          <w:szCs w:val="32"/>
          <w:lang w:val="en-US" w:eastAsia="zh-CN"/>
        </w:rPr>
        <w:t xml:space="preserve"> </w:t>
      </w:r>
      <w:r>
        <w:rPr>
          <w:rFonts w:hint="eastAsia" w:ascii="宋体" w:hAnsi="宋体" w:eastAsia="黑体" w:cs="黑体"/>
          <w:sz w:val="32"/>
          <w:szCs w:val="32"/>
        </w:rPr>
        <w:t xml:space="preserve"> 安全要求</w:t>
      </w:r>
    </w:p>
    <w:p w14:paraId="74FBC937">
      <w:pPr>
        <w:keepNext w:val="0"/>
        <w:keepLines w:val="0"/>
        <w:pageBreakBefore w:val="0"/>
        <w:kinsoku/>
        <w:wordWrap/>
        <w:overflowPunct/>
        <w:topLinePunct w:val="0"/>
        <w:autoSpaceDE/>
        <w:autoSpaceDN/>
        <w:bidi w:val="0"/>
        <w:adjustRightInd/>
        <w:spacing w:line="560" w:lineRule="exact"/>
        <w:ind w:left="0" w:firstLine="640" w:firstLineChars="200"/>
        <w:textAlignment w:val="auto"/>
        <w:rPr>
          <w:rFonts w:hint="eastAsia" w:ascii="宋体" w:hAnsi="宋体" w:eastAsia="仿宋_GB2312" w:cs="仿宋_GB2312"/>
          <w:sz w:val="32"/>
          <w:szCs w:val="32"/>
        </w:rPr>
      </w:pPr>
      <w:r>
        <w:rPr>
          <w:rFonts w:hint="eastAsia" w:ascii="宋体" w:hAnsi="宋体" w:eastAsia="仿宋_GB2312" w:cs="仿宋_GB2312"/>
          <w:sz w:val="32"/>
          <w:szCs w:val="32"/>
        </w:rPr>
        <w:t>（一）系统安全。双方实现总对总专线网络连通，按照国家相关法律法规保障网络传输安全，定期检查网络安全设备和终端设备运行情况，定期对网络和终端日志进行审计，确保设备运行稳定，排除安全隐患。</w:t>
      </w:r>
    </w:p>
    <w:p w14:paraId="74729722">
      <w:pPr>
        <w:keepNext w:val="0"/>
        <w:keepLines w:val="0"/>
        <w:pageBreakBefore w:val="0"/>
        <w:kinsoku/>
        <w:wordWrap/>
        <w:overflowPunct/>
        <w:topLinePunct w:val="0"/>
        <w:autoSpaceDE/>
        <w:autoSpaceDN/>
        <w:bidi w:val="0"/>
        <w:adjustRightInd/>
        <w:spacing w:line="560" w:lineRule="exact"/>
        <w:ind w:left="0" w:firstLine="640" w:firstLineChars="200"/>
        <w:textAlignment w:val="auto"/>
        <w:rPr>
          <w:rFonts w:hint="eastAsia" w:ascii="宋体" w:hAnsi="宋体" w:eastAsia="仿宋_GB2312" w:cs="仿宋_GB2312"/>
          <w:sz w:val="32"/>
          <w:szCs w:val="32"/>
          <w:highlight w:val="green"/>
        </w:rPr>
      </w:pPr>
      <w:r>
        <w:rPr>
          <w:rFonts w:hint="eastAsia" w:ascii="宋体" w:hAnsi="宋体" w:eastAsia="仿宋_GB2312" w:cs="仿宋_GB2312"/>
          <w:sz w:val="32"/>
          <w:szCs w:val="32"/>
        </w:rPr>
        <w:t>（二）信息安全。合作网点经办岗人员应实名实人登录社保信息系统，杜绝冒用他人账号办理业务，保障业务经办合法性和可追溯性。经办人员对数据的采集、使用须获得办事人的授权，对业务材料中记载的信息负有保密责任。经办岗人员受理和经办业务时应认真全面审查申请材料，严禁将涉密文件扫描进系统。乙方要对合作网点经办人员进行保密、安全教育，经办人员应签订保密承诺书，履行保密义务。</w:t>
      </w:r>
    </w:p>
    <w:p w14:paraId="0DD902FD">
      <w:pPr>
        <w:keepNext w:val="0"/>
        <w:keepLines w:val="0"/>
        <w:pageBreakBefore w:val="0"/>
        <w:kinsoku/>
        <w:wordWrap/>
        <w:overflowPunct/>
        <w:topLinePunct w:val="0"/>
        <w:autoSpaceDE/>
        <w:autoSpaceDN/>
        <w:bidi w:val="0"/>
        <w:adjustRightInd/>
        <w:spacing w:line="560" w:lineRule="exact"/>
        <w:ind w:left="0" w:firstLine="640" w:firstLineChars="200"/>
        <w:textAlignment w:val="auto"/>
        <w:rPr>
          <w:rFonts w:hint="eastAsia" w:ascii="宋体" w:hAnsi="宋体" w:eastAsia="仿宋_GB2312" w:cs="仿宋_GB2312"/>
          <w:sz w:val="32"/>
          <w:szCs w:val="32"/>
        </w:rPr>
      </w:pPr>
      <w:r>
        <w:rPr>
          <w:rFonts w:hint="eastAsia" w:ascii="宋体" w:hAnsi="宋体" w:eastAsia="仿宋_GB2312" w:cs="仿宋_GB2312"/>
          <w:sz w:val="32"/>
          <w:szCs w:val="32"/>
        </w:rPr>
        <w:t>（三）数据安全。</w:t>
      </w:r>
      <w:r>
        <w:rPr>
          <w:rFonts w:hint="eastAsia" w:ascii="宋体" w:hAnsi="宋体" w:eastAsia="仿宋_GB2312" w:cs="仿宋_GB2312"/>
          <w:spacing w:val="-6"/>
          <w:sz w:val="32"/>
          <w:szCs w:val="32"/>
        </w:rPr>
        <w:t>乙方应做好数据安全工作，确保社保数据和经办信息在社保信息系统内闭环管理，除甲方或服务对象书面同意、法律法规另有规定或有权机关依法另有监管要求外，乙方不得在任何时间以任何理由获取、截留和向任何第三方透露社保数据。乙方及合作网点仅得为办理本协议约定社保业务之目的使用相关数据，严禁将社保业务获取的个人信息、业务数据用于本行金融产品营销、客户信用评价、风控等任何商业目的，严禁在社保专窗与银行金融业务窗口之间进行数据共享或联合营销。</w:t>
      </w:r>
    </w:p>
    <w:p w14:paraId="02E14844">
      <w:pPr>
        <w:keepNext w:val="0"/>
        <w:keepLines w:val="0"/>
        <w:pageBreakBefore w:val="0"/>
        <w:kinsoku/>
        <w:wordWrap/>
        <w:overflowPunct/>
        <w:topLinePunct w:val="0"/>
        <w:autoSpaceDE/>
        <w:autoSpaceDN/>
        <w:bidi w:val="0"/>
        <w:adjustRightInd/>
        <w:snapToGrid w:val="0"/>
        <w:spacing w:line="560" w:lineRule="exact"/>
        <w:ind w:left="0" w:firstLine="640" w:firstLineChars="200"/>
        <w:jc w:val="left"/>
        <w:textAlignment w:val="auto"/>
        <w:rPr>
          <w:rFonts w:ascii="宋体" w:hAnsi="宋体" w:eastAsia="黑体" w:cs="黑体"/>
          <w:sz w:val="32"/>
          <w:szCs w:val="32"/>
        </w:rPr>
      </w:pPr>
      <w:r>
        <w:rPr>
          <w:rFonts w:hint="eastAsia" w:ascii="宋体" w:hAnsi="宋体" w:eastAsia="黑体" w:cs="黑体"/>
          <w:sz w:val="32"/>
          <w:szCs w:val="32"/>
        </w:rPr>
        <w:t xml:space="preserve">第七条 </w:t>
      </w:r>
      <w:r>
        <w:rPr>
          <w:rFonts w:hint="eastAsia" w:ascii="宋体" w:hAnsi="宋体" w:eastAsia="黑体" w:cs="黑体"/>
          <w:sz w:val="32"/>
          <w:szCs w:val="32"/>
          <w:lang w:val="en-US" w:eastAsia="zh-CN"/>
        </w:rPr>
        <w:t xml:space="preserve"> </w:t>
      </w:r>
      <w:r>
        <w:rPr>
          <w:rFonts w:hint="eastAsia" w:ascii="宋体" w:hAnsi="宋体" w:eastAsia="黑体" w:cs="黑体"/>
          <w:sz w:val="32"/>
          <w:szCs w:val="32"/>
        </w:rPr>
        <w:t>保障机制</w:t>
      </w:r>
    </w:p>
    <w:p w14:paraId="02EF2BB8">
      <w:pPr>
        <w:pStyle w:val="4"/>
        <w:keepNext w:val="0"/>
        <w:keepLines w:val="0"/>
        <w:pageBreakBefore w:val="0"/>
        <w:widowControl w:val="0"/>
        <w:kinsoku/>
        <w:wordWrap/>
        <w:overflowPunct/>
        <w:topLinePunct w:val="0"/>
        <w:autoSpaceDE/>
        <w:autoSpaceDN/>
        <w:bidi w:val="0"/>
        <w:adjustRightInd/>
        <w:snapToGrid/>
        <w:spacing w:before="0" w:line="560" w:lineRule="exact"/>
        <w:ind w:left="0" w:firstLine="640" w:firstLineChars="200"/>
        <w:textAlignment w:val="auto"/>
        <w:rPr>
          <w:rFonts w:hint="eastAsia" w:ascii="宋体" w:hAnsi="宋体" w:eastAsia="仿宋_GB2312" w:cs="仿宋_GB2312"/>
          <w:lang w:val="en-US"/>
        </w:rPr>
      </w:pPr>
      <w:r>
        <w:rPr>
          <w:rFonts w:hint="eastAsia" w:ascii="宋体" w:hAnsi="宋体" w:eastAsia="仿宋_GB2312" w:cs="仿宋_GB2312"/>
          <w:lang w:val="en-US"/>
        </w:rPr>
        <w:t>双方建立相关工作机制，畅通双方信息交流渠道，加强工作跟踪、落实和情况反馈，提高工作效率，为经办社保业务合作顺利开展提供组织保障。</w:t>
      </w:r>
      <w:r>
        <w:rPr>
          <w:rFonts w:hint="eastAsia" w:ascii="宋体" w:hAnsi="宋体" w:eastAsia="仿宋_GB2312" w:cs="仿宋_GB2312"/>
          <w:u w:val="single"/>
          <w:lang w:val="en-US"/>
        </w:rPr>
        <w:t>甲方职工养老保险服务科、乙方机构******</w:t>
      </w:r>
      <w:r>
        <w:rPr>
          <w:rFonts w:hint="eastAsia" w:ascii="宋体" w:hAnsi="宋体" w:eastAsia="仿宋_GB2312" w:cs="仿宋_GB2312"/>
          <w:lang w:val="en-US"/>
        </w:rPr>
        <w:t>作为双方日常联络办事机构，负责牵头实施本协议明确的事项。</w:t>
      </w:r>
    </w:p>
    <w:p w14:paraId="4904FDC8">
      <w:pPr>
        <w:keepNext w:val="0"/>
        <w:keepLines w:val="0"/>
        <w:pageBreakBefore w:val="0"/>
        <w:kinsoku/>
        <w:wordWrap/>
        <w:overflowPunct/>
        <w:topLinePunct w:val="0"/>
        <w:autoSpaceDE/>
        <w:autoSpaceDN/>
        <w:bidi w:val="0"/>
        <w:adjustRightInd/>
        <w:snapToGrid w:val="0"/>
        <w:spacing w:line="560" w:lineRule="exact"/>
        <w:ind w:left="0" w:firstLine="640" w:firstLineChars="200"/>
        <w:jc w:val="left"/>
        <w:textAlignment w:val="auto"/>
        <w:rPr>
          <w:rFonts w:hint="eastAsia" w:ascii="宋体" w:hAnsi="宋体" w:eastAsia="仿宋_GB2312" w:cs="仿宋_GB2312"/>
          <w:sz w:val="32"/>
          <w:szCs w:val="32"/>
        </w:rPr>
      </w:pPr>
      <w:r>
        <w:rPr>
          <w:rFonts w:hint="eastAsia" w:ascii="宋体" w:hAnsi="宋体" w:eastAsia="仿宋_GB2312" w:cs="仿宋_GB2312"/>
          <w:sz w:val="32"/>
          <w:szCs w:val="32"/>
        </w:rPr>
        <w:t>（一）联席会议。双方视情召开联席会议，遇特殊情况及时召开联席会议，共同研究协商以下问题：推进我市社银合作相关措施、确定合作网点社保专窗经办清单和自助服务清单等、合作网点考核评价问题、处理经办社保业务合作过程中遇到的重大问题、双方履行协议中的争议问题以及本协议未予明确的其它事项等。</w:t>
      </w:r>
    </w:p>
    <w:p w14:paraId="59712F00">
      <w:pPr>
        <w:pStyle w:val="4"/>
        <w:keepNext w:val="0"/>
        <w:keepLines w:val="0"/>
        <w:pageBreakBefore w:val="0"/>
        <w:widowControl w:val="0"/>
        <w:kinsoku/>
        <w:wordWrap/>
        <w:overflowPunct/>
        <w:topLinePunct w:val="0"/>
        <w:autoSpaceDE/>
        <w:autoSpaceDN/>
        <w:bidi w:val="0"/>
        <w:adjustRightInd/>
        <w:snapToGrid/>
        <w:spacing w:before="0" w:line="560" w:lineRule="exact"/>
        <w:ind w:left="0" w:firstLine="640" w:firstLineChars="200"/>
        <w:textAlignment w:val="auto"/>
        <w:rPr>
          <w:rFonts w:hint="eastAsia" w:ascii="宋体" w:hAnsi="宋体" w:eastAsia="仿宋_GB2312" w:cs="仿宋_GB2312"/>
          <w:lang w:val="en-US"/>
        </w:rPr>
      </w:pPr>
      <w:r>
        <w:rPr>
          <w:rFonts w:hint="eastAsia" w:ascii="宋体" w:hAnsi="宋体" w:eastAsia="仿宋_GB2312" w:cs="仿宋_GB2312"/>
          <w:lang w:val="en-US"/>
        </w:rPr>
        <w:t>（二）业务培训。双方共同做</w:t>
      </w:r>
      <w:r>
        <w:rPr>
          <w:rFonts w:hint="eastAsia" w:ascii="宋体" w:hAnsi="宋体" w:eastAsia="仿宋_GB2312" w:cs="仿宋_GB2312"/>
        </w:rPr>
        <w:t>好</w:t>
      </w:r>
      <w:r>
        <w:rPr>
          <w:rFonts w:hint="eastAsia" w:ascii="宋体" w:hAnsi="宋体" w:eastAsia="仿宋_GB2312" w:cs="仿宋_GB2312"/>
          <w:lang w:val="en-US"/>
        </w:rPr>
        <w:t>合作网点</w:t>
      </w:r>
      <w:r>
        <w:rPr>
          <w:rFonts w:hint="eastAsia" w:ascii="宋体" w:hAnsi="宋体" w:eastAsia="仿宋_GB2312" w:cs="仿宋_GB2312"/>
        </w:rPr>
        <w:t>经办人员岗前培训</w:t>
      </w:r>
      <w:r>
        <w:rPr>
          <w:rFonts w:hint="eastAsia" w:ascii="宋体" w:hAnsi="宋体" w:eastAsia="仿宋_GB2312" w:cs="仿宋_GB2312"/>
          <w:lang w:val="en-US"/>
        </w:rPr>
        <w:t>和日常培训工作，甲方应积极邀请乙方</w:t>
      </w:r>
      <w:r>
        <w:rPr>
          <w:rFonts w:hint="eastAsia" w:ascii="宋体" w:hAnsi="宋体" w:eastAsia="仿宋_GB2312" w:cs="仿宋_GB2312"/>
        </w:rPr>
        <w:t>经办人员</w:t>
      </w:r>
      <w:r>
        <w:rPr>
          <w:rFonts w:hint="eastAsia" w:ascii="宋体" w:hAnsi="宋体" w:eastAsia="仿宋_GB2312" w:cs="仿宋_GB2312"/>
          <w:lang w:val="en-US"/>
        </w:rPr>
        <w:t>参加各类业务培训，乙方应积极参加，并将社保业务纳入本行日常业务有计划地进行培训和考核，不断提升经办人员的业务水平和能力。甲方应加强对乙方的政策及业务指导，定期向乙方传达、培训社保经办政策和流程规范。</w:t>
      </w:r>
    </w:p>
    <w:p w14:paraId="2BE25619">
      <w:pPr>
        <w:keepNext w:val="0"/>
        <w:keepLines w:val="0"/>
        <w:pageBreakBefore w:val="0"/>
        <w:kinsoku/>
        <w:wordWrap/>
        <w:overflowPunct/>
        <w:topLinePunct w:val="0"/>
        <w:autoSpaceDE/>
        <w:autoSpaceDN/>
        <w:bidi w:val="0"/>
        <w:adjustRightInd/>
        <w:spacing w:line="560" w:lineRule="exact"/>
        <w:ind w:left="0" w:firstLine="640" w:firstLineChars="200"/>
        <w:textAlignment w:val="auto"/>
        <w:rPr>
          <w:rFonts w:ascii="宋体" w:hAnsi="宋体" w:eastAsia="仿宋_GB2312" w:cs="仿宋_GB2312"/>
          <w:sz w:val="32"/>
          <w:szCs w:val="32"/>
        </w:rPr>
      </w:pPr>
      <w:r>
        <w:rPr>
          <w:rFonts w:hint="eastAsia" w:ascii="宋体" w:hAnsi="宋体" w:eastAsia="仿宋_GB2312" w:cs="仿宋_GB2312"/>
          <w:sz w:val="32"/>
          <w:szCs w:val="32"/>
        </w:rPr>
        <w:t>（三）业务指导。双方应加强业务沟通，保障合作网点经办业务正常运行。合作网点应及时向甲方反馈经办过程中遇到的问题，甲方应采用电话、文字、视频等多种方式，指导合作网点开展业务经办，及时解决疑难业务、系统异常、操作失误等问题。合作网点应提供甲方统一格式的社保业务宣传手册、办事指南及业务表单等，并及时更新，双方定期收集讨论经办常见问题。</w:t>
      </w:r>
    </w:p>
    <w:p w14:paraId="17029C69">
      <w:pPr>
        <w:keepNext w:val="0"/>
        <w:keepLines w:val="0"/>
        <w:pageBreakBefore w:val="0"/>
        <w:kinsoku/>
        <w:wordWrap/>
        <w:overflowPunct/>
        <w:topLinePunct w:val="0"/>
        <w:autoSpaceDE/>
        <w:autoSpaceDN/>
        <w:bidi w:val="0"/>
        <w:adjustRightInd/>
        <w:spacing w:line="560" w:lineRule="exact"/>
        <w:ind w:left="0" w:firstLine="640" w:firstLineChars="200"/>
        <w:textAlignment w:val="auto"/>
        <w:rPr>
          <w:rFonts w:hint="eastAsia" w:ascii="宋体" w:hAnsi="宋体" w:eastAsia="仿宋_GB2312" w:cs="仿宋_GB2312"/>
          <w:sz w:val="32"/>
          <w:szCs w:val="32"/>
        </w:rPr>
      </w:pPr>
      <w:r>
        <w:rPr>
          <w:rFonts w:hint="eastAsia" w:ascii="宋体" w:hAnsi="宋体" w:eastAsia="仿宋_GB2312" w:cs="仿宋_GB2312"/>
          <w:sz w:val="32"/>
          <w:szCs w:val="32"/>
        </w:rPr>
        <w:t>（四）宣传推广。符合条件的合作网点应建设完善网点标识，结合自身实际打造特色品牌。双方应开展形式多样的宣传活动，将乙方经办社保业务的工作内容进行宣传讲解，引导办事人就近选择合作网点办理所需社保业务。</w:t>
      </w:r>
    </w:p>
    <w:p w14:paraId="061EAE87">
      <w:pPr>
        <w:keepNext w:val="0"/>
        <w:keepLines w:val="0"/>
        <w:pageBreakBefore w:val="0"/>
        <w:kinsoku/>
        <w:wordWrap/>
        <w:overflowPunct/>
        <w:topLinePunct w:val="0"/>
        <w:autoSpaceDE/>
        <w:autoSpaceDN/>
        <w:bidi w:val="0"/>
        <w:adjustRightInd/>
        <w:spacing w:line="560" w:lineRule="exact"/>
        <w:ind w:left="0" w:firstLine="640" w:firstLineChars="200"/>
        <w:textAlignment w:val="auto"/>
        <w:rPr>
          <w:rFonts w:hint="eastAsia" w:ascii="宋体" w:hAnsi="宋体" w:eastAsia="仿宋_GB2312" w:cs="仿宋_GB2312"/>
          <w:sz w:val="32"/>
          <w:szCs w:val="32"/>
        </w:rPr>
      </w:pPr>
      <w:r>
        <w:rPr>
          <w:rFonts w:hint="eastAsia" w:ascii="宋体" w:hAnsi="宋体" w:eastAsia="仿宋_GB2312" w:cs="仿宋_GB2312"/>
          <w:sz w:val="32"/>
          <w:szCs w:val="32"/>
        </w:rPr>
        <w:t>（五）应急预案。双方建立合作网点经办社保业务应急预案和重大事项报告制度，合作网点应根据预案定期进行突发事件应急处理演练。合作网点发生经办社保业务服务突发事件，应立即启动预案，实施有效措施，降低突发事件的影响和危害，并应及时、如实向甲方报告。</w:t>
      </w:r>
    </w:p>
    <w:p w14:paraId="11CFCA5E">
      <w:pPr>
        <w:keepNext w:val="0"/>
        <w:keepLines w:val="0"/>
        <w:pageBreakBefore w:val="0"/>
        <w:kinsoku/>
        <w:wordWrap/>
        <w:overflowPunct/>
        <w:topLinePunct w:val="0"/>
        <w:autoSpaceDE/>
        <w:autoSpaceDN/>
        <w:bidi w:val="0"/>
        <w:adjustRightInd/>
        <w:spacing w:line="560" w:lineRule="exact"/>
        <w:ind w:left="0" w:firstLine="640" w:firstLineChars="200"/>
        <w:textAlignment w:val="auto"/>
        <w:rPr>
          <w:rFonts w:hint="eastAsia" w:ascii="宋体" w:hAnsi="宋体" w:eastAsia="仿宋_GB2312" w:cs="仿宋_GB2312"/>
          <w:sz w:val="32"/>
          <w:szCs w:val="32"/>
        </w:rPr>
      </w:pPr>
      <w:r>
        <w:rPr>
          <w:rFonts w:hint="eastAsia" w:ascii="宋体" w:hAnsi="宋体" w:eastAsia="仿宋_GB2312" w:cs="仿宋_GB2312"/>
          <w:sz w:val="32"/>
          <w:szCs w:val="32"/>
        </w:rPr>
        <w:t>（六）投诉处理。</w:t>
      </w:r>
      <w:r>
        <w:rPr>
          <w:rFonts w:ascii="宋体" w:hAnsi="宋体" w:eastAsia="仿宋_GB2312" w:cs="仿宋_GB2312"/>
          <w:sz w:val="32"/>
          <w:szCs w:val="32"/>
        </w:rPr>
        <w:t>在业务经办过程中，</w:t>
      </w:r>
      <w:r>
        <w:rPr>
          <w:rFonts w:hint="eastAsia" w:ascii="宋体" w:hAnsi="宋体" w:eastAsia="仿宋_GB2312" w:cs="仿宋_GB2312"/>
          <w:sz w:val="32"/>
          <w:szCs w:val="32"/>
        </w:rPr>
        <w:t>因合作网点经办人员非主观原因错误引发投诉、纠纷等，乙方应积极采取措施做好办事人的安抚解释工作，甲方应配合乙方协调处理，指导乙方加强对经办人员应对处理社保业务纠纷的培训。因社保政策等原因造成的投诉等由双方共同协商处理，乙方应积极采取措施做好办事人的安抚解释工作</w:t>
      </w:r>
      <w:r>
        <w:rPr>
          <w:rFonts w:ascii="宋体" w:hAnsi="宋体" w:eastAsia="仿宋_GB2312" w:cs="仿宋_GB2312"/>
          <w:sz w:val="32"/>
          <w:szCs w:val="32"/>
        </w:rPr>
        <w:t>，甲方做好政策解释工作</w:t>
      </w:r>
      <w:r>
        <w:rPr>
          <w:rFonts w:hint="eastAsia" w:ascii="宋体" w:hAnsi="宋体" w:eastAsia="仿宋_GB2312" w:cs="仿宋_GB2312"/>
          <w:sz w:val="32"/>
          <w:szCs w:val="32"/>
        </w:rPr>
        <w:t>。双方处理合作网点社保专窗或者合作终端相关投诉问题时，应始终坚持以人民为中心的根本立场，积极协作为办事人提供优质社保服务，妥善解决相关诉求。</w:t>
      </w:r>
    </w:p>
    <w:p w14:paraId="4CE89373">
      <w:pPr>
        <w:keepNext w:val="0"/>
        <w:keepLines w:val="0"/>
        <w:pageBreakBefore w:val="0"/>
        <w:kinsoku/>
        <w:wordWrap/>
        <w:overflowPunct/>
        <w:topLinePunct w:val="0"/>
        <w:autoSpaceDE/>
        <w:autoSpaceDN/>
        <w:bidi w:val="0"/>
        <w:adjustRightInd/>
        <w:snapToGrid w:val="0"/>
        <w:spacing w:line="560" w:lineRule="exact"/>
        <w:ind w:left="0" w:firstLine="640" w:firstLineChars="200"/>
        <w:jc w:val="left"/>
        <w:textAlignment w:val="auto"/>
        <w:rPr>
          <w:rFonts w:hint="eastAsia" w:ascii="宋体" w:hAnsi="宋体" w:eastAsia="黑体" w:cs="黑体"/>
          <w:sz w:val="32"/>
          <w:szCs w:val="32"/>
        </w:rPr>
      </w:pPr>
      <w:r>
        <w:rPr>
          <w:rFonts w:hint="eastAsia" w:ascii="宋体" w:hAnsi="宋体" w:eastAsia="黑体" w:cs="黑体"/>
          <w:sz w:val="32"/>
          <w:szCs w:val="32"/>
        </w:rPr>
        <w:t xml:space="preserve">第八条 </w:t>
      </w:r>
      <w:r>
        <w:rPr>
          <w:rFonts w:hint="eastAsia" w:ascii="宋体" w:hAnsi="宋体" w:eastAsia="黑体" w:cs="黑体"/>
          <w:sz w:val="32"/>
          <w:szCs w:val="32"/>
          <w:lang w:val="en-US" w:eastAsia="zh-CN"/>
        </w:rPr>
        <w:t xml:space="preserve"> </w:t>
      </w:r>
      <w:r>
        <w:rPr>
          <w:rFonts w:hint="eastAsia" w:ascii="宋体" w:hAnsi="宋体" w:eastAsia="黑体" w:cs="黑体"/>
          <w:sz w:val="32"/>
          <w:szCs w:val="32"/>
        </w:rPr>
        <w:t>检查评估</w:t>
      </w:r>
    </w:p>
    <w:p w14:paraId="3CA14290">
      <w:pPr>
        <w:pStyle w:val="4"/>
        <w:keepNext w:val="0"/>
        <w:keepLines w:val="0"/>
        <w:pageBreakBefore w:val="0"/>
        <w:widowControl w:val="0"/>
        <w:kinsoku/>
        <w:wordWrap/>
        <w:overflowPunct/>
        <w:topLinePunct w:val="0"/>
        <w:autoSpaceDE/>
        <w:autoSpaceDN/>
        <w:bidi w:val="0"/>
        <w:adjustRightInd/>
        <w:snapToGrid/>
        <w:spacing w:before="0" w:line="560" w:lineRule="exact"/>
        <w:ind w:left="0" w:firstLine="640" w:firstLineChars="200"/>
        <w:textAlignment w:val="auto"/>
        <w:rPr>
          <w:rFonts w:hint="eastAsia" w:ascii="宋体" w:hAnsi="宋体" w:eastAsia="仿宋_GB2312" w:cs="仿宋_GB2312"/>
          <w:lang w:val="en"/>
        </w:rPr>
      </w:pPr>
      <w:r>
        <w:rPr>
          <w:rFonts w:hint="eastAsia" w:ascii="宋体" w:hAnsi="宋体" w:eastAsia="仿宋_GB2312" w:cs="仿宋_GB2312"/>
          <w:lang w:val="en-US"/>
        </w:rPr>
        <w:t>（一）监督检查。乙方应建立健全合作网点经办社保业务内控监督制度，将社保业务纳入行内日常业务管理，并采取定期和不定期的方式对合作网点社保经办业务和服务活动进行监督检查。乙方应建立业务投诉渠道，接受办事人监督，并及时回复、回访。</w:t>
      </w:r>
      <w:r>
        <w:rPr>
          <w:rFonts w:hint="eastAsia" w:ascii="宋体" w:hAnsi="宋体" w:eastAsia="仿宋_GB2312" w:cs="仿宋_GB2312"/>
        </w:rPr>
        <w:t>甲方</w:t>
      </w:r>
      <w:r>
        <w:rPr>
          <w:rFonts w:hint="eastAsia" w:ascii="宋体" w:hAnsi="宋体" w:eastAsia="仿宋_GB2312" w:cs="仿宋_GB2312"/>
          <w:lang w:val="en-US"/>
        </w:rPr>
        <w:t>负责</w:t>
      </w:r>
      <w:r>
        <w:rPr>
          <w:rFonts w:hint="eastAsia" w:ascii="宋体" w:hAnsi="宋体" w:eastAsia="仿宋_GB2312" w:cs="仿宋_GB2312"/>
        </w:rPr>
        <w:t>对乙方经办社保业务情况进行</w:t>
      </w:r>
      <w:r>
        <w:rPr>
          <w:rFonts w:hint="eastAsia" w:ascii="宋体" w:hAnsi="宋体" w:eastAsia="仿宋_GB2312" w:cs="仿宋_GB2312"/>
          <w:lang w:val="en-US"/>
        </w:rPr>
        <w:t>日常</w:t>
      </w:r>
      <w:r>
        <w:rPr>
          <w:rFonts w:hint="eastAsia" w:ascii="宋体" w:hAnsi="宋体" w:eastAsia="仿宋_GB2312" w:cs="仿宋_GB2312"/>
        </w:rPr>
        <w:t>监督、</w:t>
      </w:r>
      <w:r>
        <w:rPr>
          <w:rFonts w:hint="eastAsia" w:ascii="宋体" w:hAnsi="宋体" w:eastAsia="仿宋_GB2312" w:cs="仿宋_GB2312"/>
          <w:lang w:val="en-US"/>
        </w:rPr>
        <w:t>暗访</w:t>
      </w:r>
      <w:r>
        <w:rPr>
          <w:rFonts w:hint="eastAsia" w:ascii="宋体" w:hAnsi="宋体" w:eastAsia="仿宋_GB2312" w:cs="仿宋_GB2312"/>
        </w:rPr>
        <w:t>检查</w:t>
      </w:r>
      <w:r>
        <w:rPr>
          <w:rFonts w:hint="eastAsia" w:ascii="宋体" w:hAnsi="宋体" w:eastAsia="仿宋_GB2312" w:cs="仿宋_GB2312"/>
          <w:lang w:val="en-US"/>
        </w:rPr>
        <w:t>和每年专项检查等监督检查活动</w:t>
      </w:r>
      <w:r>
        <w:rPr>
          <w:rFonts w:hint="eastAsia" w:ascii="宋体" w:hAnsi="宋体" w:eastAsia="仿宋_GB2312" w:cs="仿宋_GB2312"/>
          <w:lang w:val="en"/>
        </w:rPr>
        <w:t>，</w:t>
      </w:r>
      <w:r>
        <w:rPr>
          <w:rFonts w:hint="eastAsia" w:ascii="宋体" w:hAnsi="宋体" w:eastAsia="仿宋_GB2312" w:cs="仿宋_GB2312"/>
          <w:lang w:val="en-US"/>
        </w:rPr>
        <w:t>乙方</w:t>
      </w:r>
      <w:r>
        <w:rPr>
          <w:rFonts w:hint="eastAsia" w:ascii="宋体" w:hAnsi="宋体" w:eastAsia="仿宋_GB2312" w:cs="仿宋_GB2312"/>
          <w:lang w:val="en"/>
        </w:rPr>
        <w:t>应自觉配合监督检查，并根据监督检查结果，落实整改事项。</w:t>
      </w:r>
    </w:p>
    <w:p w14:paraId="24D3E575">
      <w:pPr>
        <w:pStyle w:val="4"/>
        <w:keepNext w:val="0"/>
        <w:keepLines w:val="0"/>
        <w:pageBreakBefore w:val="0"/>
        <w:widowControl w:val="0"/>
        <w:kinsoku/>
        <w:wordWrap/>
        <w:overflowPunct/>
        <w:topLinePunct w:val="0"/>
        <w:autoSpaceDE/>
        <w:autoSpaceDN/>
        <w:bidi w:val="0"/>
        <w:adjustRightInd/>
        <w:snapToGrid/>
        <w:spacing w:before="0" w:line="560" w:lineRule="exact"/>
        <w:ind w:left="0" w:firstLine="640" w:firstLineChars="200"/>
        <w:textAlignment w:val="auto"/>
        <w:rPr>
          <w:rFonts w:hint="eastAsia" w:ascii="宋体" w:hAnsi="宋体" w:eastAsia="仿宋_GB2312" w:cs="仿宋_GB2312"/>
          <w:lang w:val="en-US"/>
        </w:rPr>
      </w:pPr>
      <w:r>
        <w:rPr>
          <w:rFonts w:hint="eastAsia" w:ascii="宋体" w:hAnsi="宋体" w:eastAsia="仿宋_GB2312" w:cs="仿宋_GB2312"/>
          <w:lang w:val="en-US"/>
        </w:rPr>
        <w:t>（二）考核评价。乙方应建立服务评估制度，对社保业务经办的服务质量和效率、经办人员业务能力和服务态度、社保数据的安全和保密等方面进行自我评估。双方视情将合作网点与政务服务好差评系统对接，乙方应依托行业评价系统、评价器等，引导办事人对服务情况进行评价，评价应覆盖合作网点经办的社保业务事项，实行一次一评、一事一评。甲方应建立考核评价机制，日常加强对合作网点经办情况进行分析、统计、预警、提醒，每年对乙方经办社保业务情况进行整体评价，并定期开展评优评先活动，评选星级网点。评价结果作为双方继续或终止合作的依据，也作为乙方改进社保业务经办工作的依据。</w:t>
      </w:r>
    </w:p>
    <w:p w14:paraId="708713E8">
      <w:pPr>
        <w:pStyle w:val="4"/>
        <w:keepNext w:val="0"/>
        <w:keepLines w:val="0"/>
        <w:pageBreakBefore w:val="0"/>
        <w:kinsoku/>
        <w:wordWrap/>
        <w:overflowPunct/>
        <w:topLinePunct w:val="0"/>
        <w:autoSpaceDE/>
        <w:autoSpaceDN/>
        <w:bidi w:val="0"/>
        <w:adjustRightInd/>
        <w:spacing w:before="0" w:line="560" w:lineRule="exact"/>
        <w:ind w:left="0" w:firstLine="640" w:firstLineChars="200"/>
        <w:textAlignment w:val="auto"/>
        <w:rPr>
          <w:rFonts w:ascii="宋体" w:hAnsi="宋体" w:eastAsia="仿宋_GB2312" w:cs="仿宋_GB2312"/>
          <w:lang w:val="en-US"/>
        </w:rPr>
      </w:pPr>
      <w:r>
        <w:rPr>
          <w:rFonts w:hint="eastAsia" w:ascii="宋体" w:hAnsi="宋体" w:eastAsia="仿宋_GB2312" w:cs="仿宋_GB2312"/>
          <w:lang w:val="en-US"/>
        </w:rPr>
        <w:t>（三）退出机制。合作网点因资源不足、网点合并、搬迁、撤销等客观条件发生变化，无法继续经办社会保险业务的，应向甲方提出退出申请，经甲方审核后可以退出合作关系。合作网点退出时，乙方需配合甲方在3个工作日内完成社会保险业务资料移交、经办权限注销、标识拆除等工作。甲方通过实地调研暗访、数据分析、群众反映、提取业务记录等多种方式,发现乙方或合作网点存在违反保密义务造成严重影响、发生经办重大失误，经甲方指出后连续两次对问题整改仍不到位、办事人对合作网点投诉反映较大造成严重不良社会影响、考核评价结果为不合格、经办不合规或服务不到位造成严重影响等情况的，可强制合作网点退出合作关系。乙方退出的合作网点比例达到本协议项下乙方合作网点总数20%的，甲方有权单方面解除本合同，并有权依法追究乙方违约责任。</w:t>
      </w:r>
    </w:p>
    <w:p w14:paraId="6095D76B">
      <w:pPr>
        <w:pStyle w:val="4"/>
        <w:spacing w:before="0" w:line="560" w:lineRule="exact"/>
        <w:ind w:left="0" w:firstLine="640" w:firstLineChars="200"/>
        <w:rPr>
          <w:rFonts w:hint="eastAsia" w:ascii="宋体" w:hAnsi="宋体" w:eastAsia="仿宋_GB2312" w:cs="仿宋_GB2312"/>
          <w:lang w:val="en-US"/>
        </w:rPr>
      </w:pPr>
      <w:r>
        <w:rPr>
          <w:rFonts w:hint="eastAsia" w:ascii="宋体" w:hAnsi="宋体" w:eastAsia="黑体" w:cs="黑体"/>
          <w:lang w:val="en-US"/>
        </w:rPr>
        <w:t xml:space="preserve">第九条 </w:t>
      </w:r>
      <w:r>
        <w:rPr>
          <w:rFonts w:hint="eastAsia" w:ascii="宋体" w:hAnsi="宋体" w:eastAsia="黑体" w:cs="黑体"/>
          <w:lang w:val="en-US" w:eastAsia="zh-CN"/>
        </w:rPr>
        <w:t xml:space="preserve"> </w:t>
      </w:r>
      <w:r>
        <w:rPr>
          <w:rFonts w:hint="eastAsia" w:ascii="宋体" w:hAnsi="宋体" w:eastAsia="黑体" w:cs="黑体"/>
          <w:lang w:val="en-US"/>
        </w:rPr>
        <w:t>责任及争议处理</w:t>
      </w:r>
    </w:p>
    <w:p w14:paraId="04E35BDF">
      <w:pPr>
        <w:keepNext w:val="0"/>
        <w:keepLines w:val="0"/>
        <w:pageBreakBefore w:val="0"/>
        <w:kinsoku/>
        <w:wordWrap/>
        <w:overflowPunct/>
        <w:topLinePunct w:val="0"/>
        <w:autoSpaceDE/>
        <w:autoSpaceDN/>
        <w:bidi w:val="0"/>
        <w:adjustRightInd/>
        <w:snapToGrid w:val="0"/>
        <w:spacing w:line="560" w:lineRule="exact"/>
        <w:ind w:left="0" w:firstLine="640" w:firstLineChars="200"/>
        <w:jc w:val="left"/>
        <w:textAlignment w:val="auto"/>
        <w:rPr>
          <w:rFonts w:ascii="宋体" w:hAnsi="宋体" w:eastAsia="仿宋_GB2312" w:cs="仿宋_GB2312"/>
          <w:sz w:val="32"/>
          <w:szCs w:val="32"/>
        </w:rPr>
      </w:pPr>
      <w:r>
        <w:rPr>
          <w:rFonts w:hint="eastAsia" w:ascii="宋体" w:hAnsi="宋体" w:eastAsia="仿宋_GB2312" w:cs="仿宋_GB2312"/>
          <w:sz w:val="32"/>
          <w:szCs w:val="32"/>
        </w:rPr>
        <w:t>乙方应建立健全社保经办服务责任处理制度，乙方合作网点经办人员在社保经办服务过程中滥用职权、徇私舞弊、违规经办社保业务的，乙方应承担主体责任，造成不良社会影响的（包括但不限于引发负面舆情、被有权机关通报批评、引发信访或群体性事件等），甲方有权要求乙方按照有关规定限期改正。情节严重的，甲方有权要求乙方对直接责任人依规给予处理。乙方违反保密义务，造成社保数据泄露的，甲方有权</w:t>
      </w:r>
      <w:r>
        <w:rPr>
          <w:rFonts w:ascii="宋体" w:hAnsi="宋体" w:eastAsia="仿宋_GB2312" w:cs="仿宋_GB2312"/>
          <w:sz w:val="32"/>
          <w:szCs w:val="32"/>
        </w:rPr>
        <w:t>向乙方追究违约责任</w:t>
      </w:r>
      <w:r>
        <w:rPr>
          <w:rFonts w:hint="eastAsia" w:ascii="宋体" w:hAnsi="宋体" w:eastAsia="仿宋_GB2312" w:cs="仿宋_GB2312"/>
          <w:sz w:val="32"/>
          <w:szCs w:val="32"/>
        </w:rPr>
        <w:t>。涉嫌犯罪的，依法追究刑事责任。双方履行协议中的争议无法协商解决的，任何一方有权向甲方所在地的法院提起诉讼。</w:t>
      </w:r>
    </w:p>
    <w:p w14:paraId="771F0D33">
      <w:pPr>
        <w:keepNext w:val="0"/>
        <w:keepLines w:val="0"/>
        <w:pageBreakBefore w:val="0"/>
        <w:kinsoku/>
        <w:wordWrap/>
        <w:overflowPunct/>
        <w:topLinePunct w:val="0"/>
        <w:autoSpaceDE/>
        <w:autoSpaceDN/>
        <w:bidi w:val="0"/>
        <w:adjustRightInd/>
        <w:snapToGrid w:val="0"/>
        <w:spacing w:line="560" w:lineRule="exact"/>
        <w:ind w:left="0" w:firstLine="640" w:firstLineChars="200"/>
        <w:jc w:val="left"/>
        <w:textAlignment w:val="auto"/>
        <w:rPr>
          <w:rFonts w:ascii="宋体" w:hAnsi="宋体" w:eastAsia="黑体" w:cs="黑体"/>
          <w:sz w:val="32"/>
          <w:szCs w:val="32"/>
        </w:rPr>
      </w:pPr>
      <w:r>
        <w:rPr>
          <w:rFonts w:hint="eastAsia" w:ascii="宋体" w:hAnsi="宋体" w:eastAsia="黑体" w:cs="黑体"/>
          <w:sz w:val="32"/>
          <w:szCs w:val="32"/>
        </w:rPr>
        <w:t>第十条</w:t>
      </w:r>
      <w:r>
        <w:rPr>
          <w:rFonts w:hint="eastAsia" w:ascii="宋体" w:hAnsi="宋体" w:eastAsia="黑体" w:cs="黑体"/>
          <w:sz w:val="32"/>
          <w:szCs w:val="32"/>
          <w:lang w:val="en-US" w:eastAsia="zh-CN"/>
        </w:rPr>
        <w:t xml:space="preserve"> </w:t>
      </w:r>
      <w:r>
        <w:rPr>
          <w:rFonts w:hint="eastAsia" w:ascii="宋体" w:hAnsi="宋体" w:eastAsia="黑体" w:cs="黑体"/>
          <w:sz w:val="32"/>
          <w:szCs w:val="32"/>
        </w:rPr>
        <w:t xml:space="preserve"> 其它</w:t>
      </w:r>
    </w:p>
    <w:p w14:paraId="1897B007">
      <w:pPr>
        <w:keepNext w:val="0"/>
        <w:keepLines w:val="0"/>
        <w:pageBreakBefore w:val="0"/>
        <w:kinsoku/>
        <w:wordWrap/>
        <w:overflowPunct/>
        <w:topLinePunct w:val="0"/>
        <w:autoSpaceDE/>
        <w:autoSpaceDN/>
        <w:bidi w:val="0"/>
        <w:adjustRightInd/>
        <w:snapToGrid w:val="0"/>
        <w:spacing w:line="560" w:lineRule="exact"/>
        <w:ind w:left="0" w:firstLine="640" w:firstLineChars="200"/>
        <w:jc w:val="left"/>
        <w:textAlignment w:val="auto"/>
        <w:rPr>
          <w:rFonts w:ascii="宋体" w:hAnsi="宋体" w:eastAsia="仿宋_GB2312" w:cs="仿宋_GB2312"/>
          <w:sz w:val="32"/>
          <w:szCs w:val="32"/>
        </w:rPr>
      </w:pPr>
      <w:r>
        <w:rPr>
          <w:rFonts w:hint="eastAsia" w:ascii="宋体" w:hAnsi="宋体" w:eastAsia="仿宋_GB2312" w:cs="仿宋_GB2312"/>
          <w:sz w:val="32"/>
          <w:szCs w:val="32"/>
        </w:rPr>
        <w:t>（一）本合作协议自签订之日起生效，有效期为三年。协议期限届满，经甲、乙双方自愿协商一致，可续签本协议。本协议一式四份</w:t>
      </w:r>
      <w:r>
        <w:rPr>
          <w:rFonts w:hint="eastAsia" w:ascii="宋体" w:hAnsi="宋体" w:eastAsia="仿宋_GB2312" w:cs="仿宋_GB2312"/>
          <w:sz w:val="32"/>
          <w:szCs w:val="32"/>
          <w:lang w:val="en"/>
        </w:rPr>
        <w:t>，</w:t>
      </w:r>
      <w:r>
        <w:rPr>
          <w:rFonts w:hint="eastAsia" w:ascii="宋体" w:hAnsi="宋体" w:eastAsia="仿宋_GB2312" w:cs="仿宋_GB2312"/>
          <w:sz w:val="32"/>
          <w:szCs w:val="32"/>
        </w:rPr>
        <w:t>双方各执二份</w:t>
      </w:r>
      <w:r>
        <w:rPr>
          <w:rFonts w:hint="eastAsia" w:ascii="宋体" w:hAnsi="宋体" w:eastAsia="仿宋_GB2312" w:cs="仿宋_GB2312"/>
          <w:sz w:val="32"/>
          <w:szCs w:val="32"/>
          <w:lang w:val="en"/>
        </w:rPr>
        <w:t>，</w:t>
      </w:r>
      <w:r>
        <w:rPr>
          <w:rFonts w:hint="eastAsia" w:ascii="宋体" w:hAnsi="宋体" w:eastAsia="仿宋_GB2312" w:cs="仿宋_GB2312"/>
          <w:sz w:val="32"/>
          <w:szCs w:val="32"/>
        </w:rPr>
        <w:t>具有同等法律效力。</w:t>
      </w:r>
    </w:p>
    <w:p w14:paraId="370D9235">
      <w:pPr>
        <w:keepNext w:val="0"/>
        <w:keepLines w:val="0"/>
        <w:pageBreakBefore w:val="0"/>
        <w:kinsoku/>
        <w:wordWrap/>
        <w:overflowPunct/>
        <w:topLinePunct w:val="0"/>
        <w:autoSpaceDE/>
        <w:autoSpaceDN/>
        <w:bidi w:val="0"/>
        <w:adjustRightInd/>
        <w:snapToGrid w:val="0"/>
        <w:spacing w:line="560" w:lineRule="exact"/>
        <w:ind w:left="0" w:firstLine="640" w:firstLineChars="200"/>
        <w:jc w:val="left"/>
        <w:textAlignment w:val="auto"/>
        <w:rPr>
          <w:rFonts w:hint="eastAsia" w:ascii="宋体" w:hAnsi="宋体" w:eastAsia="仿宋_GB2312" w:cs="仿宋_GB2312"/>
          <w:sz w:val="32"/>
          <w:szCs w:val="32"/>
        </w:rPr>
      </w:pPr>
      <w:r>
        <w:rPr>
          <w:rFonts w:hint="eastAsia" w:ascii="宋体" w:hAnsi="宋体" w:eastAsia="仿宋_GB2312" w:cs="仿宋_GB2312"/>
          <w:sz w:val="32"/>
          <w:szCs w:val="32"/>
        </w:rPr>
        <w:t>（二）本协议自甲乙双方签字盖章之日起生效。</w:t>
      </w:r>
    </w:p>
    <w:p w14:paraId="4B123E5A">
      <w:pPr>
        <w:pStyle w:val="10"/>
        <w:keepNext w:val="0"/>
        <w:keepLines w:val="0"/>
        <w:pageBreakBefore w:val="0"/>
        <w:kinsoku/>
        <w:wordWrap/>
        <w:overflowPunct/>
        <w:topLinePunct w:val="0"/>
        <w:autoSpaceDE/>
        <w:autoSpaceDN/>
        <w:bidi w:val="0"/>
        <w:spacing w:before="0" w:after="0" w:line="560" w:lineRule="exact"/>
        <w:ind w:left="0" w:firstLine="680" w:firstLineChars="200"/>
        <w:textAlignment w:val="auto"/>
        <w:rPr>
          <w:rFonts w:hint="eastAsia" w:ascii="宋体" w:hAnsi="宋体" w:cs="仿宋_GB2312"/>
          <w:bCs w:val="0"/>
          <w:szCs w:val="32"/>
        </w:rPr>
      </w:pPr>
      <w:r>
        <w:rPr>
          <w:rFonts w:hint="eastAsia" w:ascii="宋体" w:hAnsi="宋体" w:cs="仿宋_GB2312"/>
          <w:bCs w:val="0"/>
          <w:szCs w:val="32"/>
        </w:rPr>
        <w:t>（以下无正文）</w:t>
      </w:r>
    </w:p>
    <w:p w14:paraId="186712F5">
      <w:pPr>
        <w:keepNext w:val="0"/>
        <w:keepLines w:val="0"/>
        <w:pageBreakBefore w:val="0"/>
        <w:kinsoku/>
        <w:wordWrap/>
        <w:overflowPunct/>
        <w:topLinePunct w:val="0"/>
        <w:autoSpaceDE/>
        <w:autoSpaceDN/>
        <w:bidi w:val="0"/>
        <w:adjustRightInd/>
        <w:spacing w:line="560" w:lineRule="exact"/>
        <w:ind w:left="0"/>
        <w:jc w:val="left"/>
        <w:textAlignment w:val="auto"/>
        <w:rPr>
          <w:rFonts w:hint="eastAsia" w:ascii="宋体" w:hAnsi="宋体" w:eastAsia="仿宋_GB2312" w:cs="仿宋_GB2312"/>
          <w:w w:val="90"/>
          <w:sz w:val="32"/>
          <w:szCs w:val="32"/>
        </w:rPr>
      </w:pPr>
    </w:p>
    <w:p w14:paraId="59F6AA78">
      <w:pPr>
        <w:keepNext w:val="0"/>
        <w:keepLines w:val="0"/>
        <w:pageBreakBefore w:val="0"/>
        <w:kinsoku/>
        <w:wordWrap/>
        <w:overflowPunct/>
        <w:topLinePunct w:val="0"/>
        <w:autoSpaceDE/>
        <w:autoSpaceDN/>
        <w:bidi w:val="0"/>
        <w:adjustRightInd/>
        <w:spacing w:line="560" w:lineRule="exact"/>
        <w:ind w:left="0"/>
        <w:jc w:val="left"/>
        <w:textAlignment w:val="auto"/>
        <w:rPr>
          <w:rFonts w:hint="eastAsia" w:ascii="宋体" w:hAnsi="宋体" w:eastAsia="仿宋_GB2312" w:cs="仿宋_GB2312"/>
          <w:w w:val="90"/>
          <w:sz w:val="32"/>
          <w:szCs w:val="32"/>
        </w:rPr>
      </w:pPr>
    </w:p>
    <w:p w14:paraId="5B9674EF">
      <w:pPr>
        <w:keepNext w:val="0"/>
        <w:keepLines w:val="0"/>
        <w:pageBreakBefore w:val="0"/>
        <w:kinsoku/>
        <w:wordWrap/>
        <w:overflowPunct/>
        <w:topLinePunct w:val="0"/>
        <w:autoSpaceDE/>
        <w:autoSpaceDN/>
        <w:bidi w:val="0"/>
        <w:adjustRightInd/>
        <w:spacing w:line="560" w:lineRule="exact"/>
        <w:ind w:left="0"/>
        <w:jc w:val="left"/>
        <w:textAlignment w:val="auto"/>
        <w:rPr>
          <w:rFonts w:hint="eastAsia" w:ascii="宋体" w:hAnsi="宋体" w:eastAsia="仿宋_GB2312" w:cs="仿宋_GB2312"/>
          <w:w w:val="90"/>
          <w:sz w:val="32"/>
          <w:szCs w:val="32"/>
        </w:rPr>
      </w:pPr>
    </w:p>
    <w:p w14:paraId="30FFD7C4">
      <w:pPr>
        <w:keepNext w:val="0"/>
        <w:keepLines w:val="0"/>
        <w:pageBreakBefore w:val="0"/>
        <w:kinsoku/>
        <w:wordWrap/>
        <w:overflowPunct/>
        <w:topLinePunct w:val="0"/>
        <w:autoSpaceDE/>
        <w:autoSpaceDN/>
        <w:bidi w:val="0"/>
        <w:adjustRightInd/>
        <w:spacing w:line="560" w:lineRule="exact"/>
        <w:ind w:left="0"/>
        <w:jc w:val="left"/>
        <w:textAlignment w:val="auto"/>
        <w:rPr>
          <w:rFonts w:hint="eastAsia" w:ascii="宋体" w:hAnsi="宋体" w:eastAsia="仿宋_GB2312" w:cs="仿宋_GB2312"/>
          <w:w w:val="90"/>
          <w:sz w:val="32"/>
          <w:szCs w:val="32"/>
        </w:rPr>
      </w:pPr>
    </w:p>
    <w:p w14:paraId="5860AB70">
      <w:pPr>
        <w:keepNext w:val="0"/>
        <w:keepLines w:val="0"/>
        <w:pageBreakBefore w:val="0"/>
        <w:kinsoku/>
        <w:wordWrap/>
        <w:overflowPunct/>
        <w:topLinePunct w:val="0"/>
        <w:autoSpaceDE/>
        <w:autoSpaceDN/>
        <w:bidi w:val="0"/>
        <w:adjustRightInd/>
        <w:spacing w:line="560" w:lineRule="exact"/>
        <w:ind w:left="0"/>
        <w:jc w:val="left"/>
        <w:textAlignment w:val="auto"/>
        <w:rPr>
          <w:rFonts w:hint="eastAsia" w:ascii="宋体" w:hAnsi="宋体" w:eastAsia="仿宋_GB2312" w:cs="仿宋_GB2312"/>
          <w:sz w:val="32"/>
          <w:szCs w:val="32"/>
        </w:rPr>
      </w:pPr>
      <w:r>
        <w:rPr>
          <w:rFonts w:hint="eastAsia" w:ascii="宋体" w:hAnsi="宋体" w:eastAsia="仿宋_GB2312" w:cs="仿宋_GB2312"/>
          <w:w w:val="90"/>
          <w:sz w:val="32"/>
          <w:szCs w:val="32"/>
        </w:rPr>
        <w:t>赣州市社会保险服务中心</w:t>
      </w:r>
      <w:r>
        <w:rPr>
          <w:rFonts w:hint="eastAsia" w:ascii="宋体" w:hAnsi="宋体" w:eastAsia="仿宋_GB2312" w:cs="仿宋_GB2312"/>
          <w:sz w:val="32"/>
          <w:szCs w:val="32"/>
        </w:rPr>
        <w:t xml:space="preserve">      </w:t>
      </w:r>
      <w:r>
        <w:rPr>
          <w:rFonts w:hint="eastAsia" w:ascii="宋体" w:hAnsi="宋体" w:eastAsia="仿宋_GB2312" w:cs="仿宋_GB2312"/>
          <w:w w:val="90"/>
          <w:sz w:val="32"/>
          <w:szCs w:val="32"/>
        </w:rPr>
        <w:t>XX银行股份有限公司赣州市分行</w:t>
      </w:r>
    </w:p>
    <w:p w14:paraId="41F168DD">
      <w:pPr>
        <w:keepNext w:val="0"/>
        <w:keepLines w:val="0"/>
        <w:pageBreakBefore w:val="0"/>
        <w:kinsoku/>
        <w:wordWrap/>
        <w:overflowPunct/>
        <w:topLinePunct w:val="0"/>
        <w:autoSpaceDE/>
        <w:autoSpaceDN/>
        <w:bidi w:val="0"/>
        <w:adjustRightInd/>
        <w:spacing w:line="560" w:lineRule="exact"/>
        <w:ind w:left="0"/>
        <w:jc w:val="left"/>
        <w:textAlignment w:val="auto"/>
        <w:rPr>
          <w:rFonts w:hint="eastAsia" w:ascii="宋体" w:hAnsi="宋体" w:eastAsia="仿宋_GB2312" w:cs="仿宋_GB2312"/>
          <w:sz w:val="32"/>
          <w:szCs w:val="32"/>
        </w:rPr>
      </w:pPr>
      <w:r>
        <w:rPr>
          <w:rFonts w:hint="eastAsia" w:ascii="宋体" w:hAnsi="宋体" w:eastAsia="仿宋_GB2312" w:cs="仿宋_GB2312"/>
          <w:sz w:val="32"/>
          <w:szCs w:val="32"/>
        </w:rPr>
        <w:t>代表人:                   代表人:</w:t>
      </w:r>
    </w:p>
    <w:p w14:paraId="5579C8A3">
      <w:pPr>
        <w:keepNext w:val="0"/>
        <w:keepLines w:val="0"/>
        <w:pageBreakBefore w:val="0"/>
        <w:widowControl w:val="0"/>
        <w:kinsoku/>
        <w:wordWrap/>
        <w:overflowPunct/>
        <w:topLinePunct w:val="0"/>
        <w:autoSpaceDE/>
        <w:autoSpaceDN/>
        <w:bidi w:val="0"/>
        <w:adjustRightInd/>
        <w:snapToGrid/>
        <w:spacing w:line="560" w:lineRule="exact"/>
        <w:ind w:left="0" w:firstLine="960" w:firstLineChars="300"/>
        <w:jc w:val="left"/>
        <w:textAlignment w:val="auto"/>
        <w:rPr>
          <w:rFonts w:hint="eastAsia" w:ascii="宋体" w:hAnsi="宋体" w:eastAsia="仿宋_GB2312" w:cs="仿宋_GB2312"/>
          <w:sz w:val="32"/>
          <w:szCs w:val="32"/>
        </w:rPr>
      </w:pPr>
    </w:p>
    <w:p w14:paraId="7D55116D">
      <w:pPr>
        <w:keepNext w:val="0"/>
        <w:keepLines w:val="0"/>
        <w:pageBreakBefore w:val="0"/>
        <w:widowControl w:val="0"/>
        <w:kinsoku/>
        <w:wordWrap/>
        <w:overflowPunct/>
        <w:topLinePunct w:val="0"/>
        <w:autoSpaceDE/>
        <w:autoSpaceDN/>
        <w:bidi w:val="0"/>
        <w:adjustRightInd/>
        <w:snapToGrid/>
        <w:spacing w:line="560" w:lineRule="exact"/>
        <w:ind w:left="0" w:firstLine="960" w:firstLineChars="300"/>
        <w:jc w:val="left"/>
        <w:textAlignment w:val="auto"/>
        <w:rPr>
          <w:rFonts w:hint="eastAsia" w:ascii="宋体" w:hAnsi="宋体" w:eastAsia="仿宋_GB2312" w:cs="仿宋_GB2312"/>
          <w:sz w:val="32"/>
          <w:szCs w:val="32"/>
        </w:rPr>
      </w:pPr>
      <w:r>
        <w:rPr>
          <w:rFonts w:hint="eastAsia" w:ascii="宋体" w:hAnsi="宋体" w:eastAsia="仿宋_GB2312" w:cs="仿宋_GB2312"/>
          <w:sz w:val="32"/>
          <w:szCs w:val="32"/>
        </w:rPr>
        <w:t xml:space="preserve">年   月   日                 年 </w:t>
      </w:r>
      <w:r>
        <w:rPr>
          <w:rFonts w:hint="eastAsia" w:ascii="宋体" w:hAnsi="宋体" w:eastAsia="仿宋_GB2312" w:cs="仿宋_GB2312"/>
          <w:sz w:val="32"/>
          <w:szCs w:val="32"/>
          <w:lang w:val="en-US" w:eastAsia="zh-CN"/>
        </w:rPr>
        <w:t xml:space="preserve"> </w:t>
      </w:r>
      <w:r>
        <w:rPr>
          <w:rFonts w:hint="eastAsia" w:ascii="宋体" w:hAnsi="宋体" w:eastAsia="仿宋_GB2312" w:cs="仿宋_GB2312"/>
          <w:sz w:val="32"/>
          <w:szCs w:val="32"/>
        </w:rPr>
        <w:t xml:space="preserve"> 月 </w:t>
      </w:r>
      <w:r>
        <w:rPr>
          <w:rFonts w:hint="eastAsia" w:ascii="宋体" w:hAnsi="宋体" w:eastAsia="仿宋_GB2312" w:cs="仿宋_GB2312"/>
          <w:sz w:val="32"/>
          <w:szCs w:val="32"/>
          <w:lang w:val="en-US" w:eastAsia="zh-CN"/>
        </w:rPr>
        <w:t xml:space="preserve"> </w:t>
      </w:r>
      <w:r>
        <w:rPr>
          <w:rFonts w:hint="eastAsia" w:ascii="宋体" w:hAnsi="宋体" w:eastAsia="仿宋_GB2312" w:cs="仿宋_GB2312"/>
          <w:sz w:val="32"/>
          <w:szCs w:val="32"/>
        </w:rPr>
        <w:t xml:space="preserve"> 日</w:t>
      </w:r>
    </w:p>
    <w:p w14:paraId="23E96CDD">
      <w:pPr>
        <w:pStyle w:val="2"/>
        <w:keepNext w:val="0"/>
        <w:keepLines w:val="0"/>
        <w:pageBreakBefore w:val="0"/>
        <w:widowControl w:val="0"/>
        <w:kinsoku/>
        <w:wordWrap/>
        <w:overflowPunct/>
        <w:topLinePunct w:val="0"/>
        <w:autoSpaceDE/>
        <w:autoSpaceDN/>
        <w:bidi w:val="0"/>
        <w:adjustRightInd/>
        <w:snapToGrid/>
        <w:spacing w:line="560" w:lineRule="exact"/>
        <w:ind w:left="0"/>
        <w:textAlignment w:val="auto"/>
        <w:rPr>
          <w:rFonts w:hint="eastAsia" w:ascii="宋体" w:hAnsi="宋体" w:eastAsia="仿宋_GB2312" w:cs="仿宋_GB2312"/>
          <w:sz w:val="32"/>
          <w:szCs w:val="32"/>
        </w:rPr>
      </w:pPr>
    </w:p>
    <w:p w14:paraId="5417654A">
      <w:pPr>
        <w:keepNext w:val="0"/>
        <w:keepLines w:val="0"/>
        <w:pageBreakBefore w:val="0"/>
        <w:widowControl w:val="0"/>
        <w:kinsoku/>
        <w:wordWrap/>
        <w:overflowPunct/>
        <w:topLinePunct w:val="0"/>
        <w:autoSpaceDE/>
        <w:autoSpaceDN/>
        <w:bidi w:val="0"/>
        <w:adjustRightInd/>
        <w:snapToGrid/>
        <w:spacing w:line="560" w:lineRule="exact"/>
        <w:ind w:left="0"/>
        <w:textAlignment w:val="auto"/>
        <w:rPr>
          <w:rFonts w:hint="eastAsia" w:ascii="宋体" w:hAnsi="宋体"/>
        </w:rPr>
      </w:pPr>
    </w:p>
    <w:p w14:paraId="5EB2F0B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方正黑体_GBK" w:cs="方正黑体_GBK"/>
          <w:color w:val="auto"/>
          <w:sz w:val="32"/>
          <w:szCs w:val="32"/>
          <w:highlight w:val="none"/>
        </w:rPr>
      </w:pPr>
      <w:r>
        <w:rPr>
          <w:rFonts w:hint="eastAsia" w:ascii="宋体" w:hAnsi="宋体" w:eastAsia="方正黑体_GBK" w:cs="方正黑体_GBK"/>
          <w:color w:val="auto"/>
          <w:sz w:val="32"/>
          <w:szCs w:val="32"/>
          <w:highlight w:val="none"/>
        </w:rPr>
        <w:br w:type="page"/>
      </w:r>
    </w:p>
    <w:p w14:paraId="1F7FC6B6">
      <w:pPr>
        <w:keepNext w:val="0"/>
        <w:keepLines w:val="0"/>
        <w:pageBreakBefore w:val="0"/>
        <w:wordWrap/>
        <w:overflowPunct/>
        <w:topLinePunct w:val="0"/>
        <w:bidi w:val="0"/>
        <w:spacing w:line="560" w:lineRule="exact"/>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rPr>
        <w:t>附件</w:t>
      </w:r>
      <w:r>
        <w:rPr>
          <w:rFonts w:hint="eastAsia" w:ascii="黑体" w:hAnsi="黑体" w:eastAsia="黑体" w:cs="黑体"/>
          <w:color w:val="auto"/>
          <w:sz w:val="32"/>
          <w:szCs w:val="32"/>
          <w:highlight w:val="none"/>
          <w:lang w:val="en-US" w:eastAsia="zh-CN"/>
        </w:rPr>
        <w:t>2</w:t>
      </w:r>
    </w:p>
    <w:p w14:paraId="0AA874E7">
      <w:pPr>
        <w:keepNext w:val="0"/>
        <w:keepLines w:val="0"/>
        <w:pageBreakBefore w:val="0"/>
        <w:wordWrap/>
        <w:overflowPunct/>
        <w:topLinePunct w:val="0"/>
        <w:bidi w:val="0"/>
        <w:spacing w:line="560" w:lineRule="exact"/>
        <w:rPr>
          <w:rFonts w:hint="eastAsia" w:ascii="黑体" w:hAnsi="黑体" w:eastAsia="黑体" w:cs="黑体"/>
          <w:color w:val="auto"/>
          <w:sz w:val="32"/>
          <w:szCs w:val="32"/>
          <w:highlight w:val="none"/>
          <w:lang w:val="en-US" w:eastAsia="zh-CN"/>
        </w:rPr>
      </w:pPr>
    </w:p>
    <w:p w14:paraId="059EE4CF">
      <w:pPr>
        <w:keepNext w:val="0"/>
        <w:keepLines w:val="0"/>
        <w:pageBreakBefore w:val="0"/>
        <w:wordWrap/>
        <w:overflowPunct/>
        <w:topLinePunct w:val="0"/>
        <w:bidi w:val="0"/>
        <w:spacing w:line="560" w:lineRule="exact"/>
        <w:jc w:val="center"/>
        <w:rPr>
          <w:rFonts w:hint="eastAsia" w:ascii="宋体" w:hAnsi="宋体" w:eastAsia="仿宋_GB2312" w:cs="仿宋_GB2312"/>
          <w:bCs/>
          <w:color w:val="auto"/>
          <w:sz w:val="44"/>
          <w:szCs w:val="44"/>
          <w:highlight w:val="none"/>
        </w:rPr>
      </w:pPr>
      <w:r>
        <w:rPr>
          <w:rFonts w:hint="eastAsia" w:ascii="宋体" w:hAnsi="宋体" w:eastAsia="方正小标宋简体" w:cs="方正小标宋简体"/>
          <w:color w:val="auto"/>
          <w:sz w:val="44"/>
          <w:szCs w:val="44"/>
          <w:highlight w:val="none"/>
        </w:rPr>
        <w:t>社银合作便民服务点</w:t>
      </w:r>
      <w:r>
        <w:rPr>
          <w:rFonts w:hint="eastAsia" w:ascii="宋体" w:hAnsi="宋体" w:eastAsia="方正小标宋简体" w:cs="方正小标宋简体"/>
          <w:bCs/>
          <w:color w:val="auto"/>
          <w:sz w:val="44"/>
          <w:szCs w:val="44"/>
          <w:highlight w:val="none"/>
        </w:rPr>
        <w:t>建设申报表</w:t>
      </w:r>
    </w:p>
    <w:tbl>
      <w:tblPr>
        <w:tblStyle w:val="7"/>
        <w:tblW w:w="90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4"/>
        <w:gridCol w:w="1520"/>
        <w:gridCol w:w="1715"/>
        <w:gridCol w:w="1185"/>
        <w:gridCol w:w="89"/>
        <w:gridCol w:w="821"/>
        <w:gridCol w:w="572"/>
        <w:gridCol w:w="1161"/>
      </w:tblGrid>
      <w:tr w14:paraId="7F6CE1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exact"/>
          <w:jc w:val="center"/>
        </w:trPr>
        <w:tc>
          <w:tcPr>
            <w:tcW w:w="1994" w:type="dxa"/>
            <w:tcBorders>
              <w:top w:val="single" w:color="auto" w:sz="4" w:space="0"/>
              <w:left w:val="single" w:color="auto" w:sz="4" w:space="0"/>
              <w:bottom w:val="single" w:color="auto" w:sz="4" w:space="0"/>
              <w:right w:val="single" w:color="auto" w:sz="4" w:space="0"/>
            </w:tcBorders>
            <w:noWrap w:val="0"/>
            <w:vAlign w:val="center"/>
          </w:tcPr>
          <w:p w14:paraId="3B8AE241">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8"/>
                <w:szCs w:val="28"/>
                <w:highlight w:val="none"/>
              </w:rPr>
            </w:pPr>
            <w:r>
              <w:rPr>
                <w:rFonts w:hint="eastAsia" w:ascii="宋体" w:hAnsi="宋体" w:eastAsia="仿宋_GB2312" w:cs="仿宋_GB2312"/>
                <w:color w:val="auto"/>
                <w:sz w:val="28"/>
                <w:szCs w:val="28"/>
                <w:highlight w:val="none"/>
              </w:rPr>
              <w:br w:type="page"/>
            </w:r>
            <w:r>
              <w:rPr>
                <w:rFonts w:hint="eastAsia" w:ascii="宋体" w:hAnsi="宋体" w:eastAsia="仿宋_GB2312" w:cs="仿宋_GB2312"/>
                <w:color w:val="auto"/>
                <w:sz w:val="28"/>
                <w:szCs w:val="28"/>
                <w:highlight w:val="none"/>
              </w:rPr>
              <w:t>单位名称</w:t>
            </w:r>
          </w:p>
        </w:tc>
        <w:tc>
          <w:tcPr>
            <w:tcW w:w="3235" w:type="dxa"/>
            <w:gridSpan w:val="2"/>
            <w:tcBorders>
              <w:top w:val="single" w:color="auto" w:sz="4" w:space="0"/>
              <w:left w:val="nil"/>
              <w:bottom w:val="single" w:color="auto" w:sz="4" w:space="0"/>
              <w:right w:val="single" w:color="auto" w:sz="4" w:space="0"/>
            </w:tcBorders>
            <w:noWrap w:val="0"/>
            <w:vAlign w:val="center"/>
          </w:tcPr>
          <w:p w14:paraId="30496446">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8"/>
                <w:szCs w:val="28"/>
                <w:highlight w:val="none"/>
              </w:rPr>
            </w:pPr>
          </w:p>
        </w:tc>
        <w:tc>
          <w:tcPr>
            <w:tcW w:w="2095" w:type="dxa"/>
            <w:gridSpan w:val="3"/>
            <w:tcBorders>
              <w:top w:val="single" w:color="auto" w:sz="4" w:space="0"/>
              <w:left w:val="nil"/>
              <w:bottom w:val="single" w:color="auto" w:sz="4" w:space="0"/>
              <w:right w:val="single" w:color="auto" w:sz="4" w:space="0"/>
            </w:tcBorders>
            <w:noWrap w:val="0"/>
            <w:vAlign w:val="center"/>
          </w:tcPr>
          <w:p w14:paraId="57344FF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仿宋_GB2312" w:cs="仿宋_GB2312"/>
                <w:color w:val="auto"/>
                <w:sz w:val="28"/>
                <w:szCs w:val="28"/>
                <w:highlight w:val="none"/>
              </w:rPr>
            </w:pPr>
            <w:r>
              <w:rPr>
                <w:rFonts w:hint="eastAsia" w:ascii="宋体" w:hAnsi="宋体" w:eastAsia="仿宋_GB2312" w:cs="仿宋_GB2312"/>
                <w:color w:val="auto"/>
                <w:sz w:val="28"/>
                <w:szCs w:val="28"/>
                <w:highlight w:val="none"/>
              </w:rPr>
              <w:t>统一社会</w:t>
            </w:r>
          </w:p>
          <w:p w14:paraId="2A336F8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仿宋_GB2312" w:cs="仿宋_GB2312"/>
                <w:color w:val="auto"/>
                <w:sz w:val="28"/>
                <w:szCs w:val="28"/>
                <w:highlight w:val="none"/>
              </w:rPr>
            </w:pPr>
            <w:r>
              <w:rPr>
                <w:rFonts w:hint="eastAsia" w:ascii="宋体" w:hAnsi="宋体" w:eastAsia="仿宋_GB2312" w:cs="仿宋_GB2312"/>
                <w:color w:val="auto"/>
                <w:sz w:val="28"/>
                <w:szCs w:val="28"/>
                <w:highlight w:val="none"/>
              </w:rPr>
              <w:t>信用代码</w:t>
            </w:r>
          </w:p>
        </w:tc>
        <w:tc>
          <w:tcPr>
            <w:tcW w:w="1733" w:type="dxa"/>
            <w:gridSpan w:val="2"/>
            <w:tcBorders>
              <w:top w:val="single" w:color="auto" w:sz="4" w:space="0"/>
              <w:left w:val="nil"/>
              <w:bottom w:val="single" w:color="auto" w:sz="4" w:space="0"/>
              <w:right w:val="single" w:color="auto" w:sz="4" w:space="0"/>
            </w:tcBorders>
            <w:noWrap w:val="0"/>
            <w:vAlign w:val="center"/>
          </w:tcPr>
          <w:p w14:paraId="7DDDFCCA">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8"/>
                <w:szCs w:val="28"/>
                <w:highlight w:val="none"/>
              </w:rPr>
            </w:pPr>
          </w:p>
        </w:tc>
      </w:tr>
      <w:tr w14:paraId="75EF41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exact"/>
          <w:jc w:val="center"/>
        </w:trPr>
        <w:tc>
          <w:tcPr>
            <w:tcW w:w="1994" w:type="dxa"/>
            <w:tcBorders>
              <w:top w:val="single" w:color="auto" w:sz="4" w:space="0"/>
              <w:left w:val="single" w:color="auto" w:sz="4" w:space="0"/>
              <w:bottom w:val="single" w:color="auto" w:sz="4" w:space="0"/>
              <w:right w:val="single" w:color="auto" w:sz="4" w:space="0"/>
            </w:tcBorders>
            <w:noWrap w:val="0"/>
            <w:vAlign w:val="center"/>
          </w:tcPr>
          <w:p w14:paraId="71CE4A28">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8"/>
                <w:szCs w:val="28"/>
                <w:highlight w:val="none"/>
              </w:rPr>
            </w:pPr>
            <w:r>
              <w:rPr>
                <w:rFonts w:hint="eastAsia" w:ascii="宋体" w:hAnsi="宋体" w:eastAsia="仿宋_GB2312" w:cs="仿宋_GB2312"/>
                <w:color w:val="auto"/>
                <w:sz w:val="28"/>
                <w:szCs w:val="28"/>
                <w:highlight w:val="none"/>
              </w:rPr>
              <w:t>法定代表人</w:t>
            </w:r>
          </w:p>
        </w:tc>
        <w:tc>
          <w:tcPr>
            <w:tcW w:w="1520" w:type="dxa"/>
            <w:tcBorders>
              <w:top w:val="single" w:color="auto" w:sz="4" w:space="0"/>
              <w:left w:val="nil"/>
              <w:bottom w:val="single" w:color="auto" w:sz="4" w:space="0"/>
              <w:right w:val="single" w:color="auto" w:sz="4" w:space="0"/>
            </w:tcBorders>
            <w:noWrap w:val="0"/>
            <w:vAlign w:val="center"/>
          </w:tcPr>
          <w:p w14:paraId="4330F8F9">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8"/>
                <w:szCs w:val="28"/>
                <w:highlight w:val="none"/>
              </w:rPr>
            </w:pPr>
          </w:p>
        </w:tc>
        <w:tc>
          <w:tcPr>
            <w:tcW w:w="1715" w:type="dxa"/>
            <w:tcBorders>
              <w:top w:val="single" w:color="auto" w:sz="4" w:space="0"/>
              <w:left w:val="nil"/>
              <w:bottom w:val="single" w:color="auto" w:sz="4" w:space="0"/>
              <w:right w:val="single" w:color="auto" w:sz="4" w:space="0"/>
            </w:tcBorders>
            <w:noWrap w:val="0"/>
            <w:vAlign w:val="center"/>
          </w:tcPr>
          <w:p w14:paraId="072AC0AB">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8"/>
                <w:szCs w:val="28"/>
                <w:highlight w:val="none"/>
              </w:rPr>
            </w:pPr>
            <w:r>
              <w:rPr>
                <w:rFonts w:hint="eastAsia" w:ascii="宋体" w:hAnsi="宋体" w:eastAsia="仿宋_GB2312" w:cs="仿宋_GB2312"/>
                <w:color w:val="auto"/>
                <w:sz w:val="28"/>
                <w:szCs w:val="28"/>
                <w:highlight w:val="none"/>
              </w:rPr>
              <w:t>注册地址</w:t>
            </w:r>
          </w:p>
        </w:tc>
        <w:tc>
          <w:tcPr>
            <w:tcW w:w="3828" w:type="dxa"/>
            <w:gridSpan w:val="5"/>
            <w:tcBorders>
              <w:top w:val="single" w:color="auto" w:sz="4" w:space="0"/>
              <w:left w:val="nil"/>
              <w:bottom w:val="single" w:color="auto" w:sz="4" w:space="0"/>
              <w:right w:val="single" w:color="auto" w:sz="4" w:space="0"/>
            </w:tcBorders>
            <w:noWrap w:val="0"/>
            <w:vAlign w:val="center"/>
          </w:tcPr>
          <w:p w14:paraId="19098C27">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8"/>
                <w:szCs w:val="28"/>
                <w:highlight w:val="none"/>
              </w:rPr>
            </w:pPr>
          </w:p>
        </w:tc>
      </w:tr>
      <w:tr w14:paraId="4C12E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exact"/>
          <w:jc w:val="center"/>
        </w:trPr>
        <w:tc>
          <w:tcPr>
            <w:tcW w:w="1994" w:type="dxa"/>
            <w:tcBorders>
              <w:top w:val="single" w:color="auto" w:sz="4" w:space="0"/>
              <w:left w:val="single" w:color="auto" w:sz="4" w:space="0"/>
              <w:bottom w:val="single" w:color="auto" w:sz="4" w:space="0"/>
              <w:right w:val="single" w:color="auto" w:sz="4" w:space="0"/>
            </w:tcBorders>
            <w:noWrap w:val="0"/>
            <w:vAlign w:val="center"/>
          </w:tcPr>
          <w:p w14:paraId="3D8B6370">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8"/>
                <w:szCs w:val="28"/>
                <w:highlight w:val="none"/>
              </w:rPr>
            </w:pPr>
            <w:r>
              <w:rPr>
                <w:rFonts w:hint="eastAsia" w:ascii="宋体" w:hAnsi="宋体" w:eastAsia="仿宋_GB2312" w:cs="仿宋_GB2312"/>
                <w:color w:val="auto"/>
                <w:sz w:val="28"/>
                <w:szCs w:val="28"/>
                <w:highlight w:val="none"/>
              </w:rPr>
              <w:t>邮政编码</w:t>
            </w:r>
          </w:p>
        </w:tc>
        <w:tc>
          <w:tcPr>
            <w:tcW w:w="1520" w:type="dxa"/>
            <w:tcBorders>
              <w:top w:val="single" w:color="auto" w:sz="4" w:space="0"/>
              <w:left w:val="nil"/>
              <w:bottom w:val="single" w:color="auto" w:sz="4" w:space="0"/>
              <w:right w:val="single" w:color="auto" w:sz="4" w:space="0"/>
            </w:tcBorders>
            <w:noWrap w:val="0"/>
            <w:vAlign w:val="center"/>
          </w:tcPr>
          <w:p w14:paraId="279D58C9">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8"/>
                <w:szCs w:val="28"/>
                <w:highlight w:val="none"/>
              </w:rPr>
            </w:pPr>
          </w:p>
        </w:tc>
        <w:tc>
          <w:tcPr>
            <w:tcW w:w="1715" w:type="dxa"/>
            <w:tcBorders>
              <w:top w:val="single" w:color="auto" w:sz="4" w:space="0"/>
              <w:left w:val="nil"/>
              <w:bottom w:val="single" w:color="auto" w:sz="4" w:space="0"/>
              <w:right w:val="single" w:color="auto" w:sz="4" w:space="0"/>
            </w:tcBorders>
            <w:noWrap w:val="0"/>
            <w:vAlign w:val="center"/>
          </w:tcPr>
          <w:p w14:paraId="5F5E16C6">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8"/>
                <w:szCs w:val="28"/>
                <w:highlight w:val="none"/>
              </w:rPr>
            </w:pPr>
            <w:r>
              <w:rPr>
                <w:rFonts w:hint="eastAsia" w:ascii="宋体" w:hAnsi="宋体" w:eastAsia="仿宋_GB2312" w:cs="仿宋_GB2312"/>
                <w:color w:val="auto"/>
                <w:sz w:val="28"/>
                <w:szCs w:val="28"/>
                <w:highlight w:val="none"/>
              </w:rPr>
              <w:t>传真号码</w:t>
            </w:r>
          </w:p>
        </w:tc>
        <w:tc>
          <w:tcPr>
            <w:tcW w:w="1185" w:type="dxa"/>
            <w:tcBorders>
              <w:top w:val="single" w:color="auto" w:sz="4" w:space="0"/>
              <w:left w:val="nil"/>
              <w:bottom w:val="single" w:color="auto" w:sz="4" w:space="0"/>
              <w:right w:val="single" w:color="auto" w:sz="4" w:space="0"/>
            </w:tcBorders>
            <w:noWrap w:val="0"/>
            <w:vAlign w:val="center"/>
          </w:tcPr>
          <w:p w14:paraId="7D7FB49E">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8"/>
                <w:szCs w:val="28"/>
                <w:highlight w:val="none"/>
              </w:rPr>
            </w:pPr>
          </w:p>
        </w:tc>
        <w:tc>
          <w:tcPr>
            <w:tcW w:w="1482" w:type="dxa"/>
            <w:gridSpan w:val="3"/>
            <w:tcBorders>
              <w:top w:val="single" w:color="auto" w:sz="4" w:space="0"/>
              <w:left w:val="nil"/>
              <w:bottom w:val="single" w:color="auto" w:sz="4" w:space="0"/>
              <w:right w:val="single" w:color="auto" w:sz="4" w:space="0"/>
            </w:tcBorders>
            <w:noWrap w:val="0"/>
            <w:vAlign w:val="center"/>
          </w:tcPr>
          <w:p w14:paraId="7D028569">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8"/>
                <w:szCs w:val="28"/>
                <w:highlight w:val="none"/>
              </w:rPr>
            </w:pPr>
            <w:r>
              <w:rPr>
                <w:rFonts w:hint="eastAsia" w:ascii="宋体" w:hAnsi="宋体" w:eastAsia="仿宋_GB2312" w:cs="仿宋_GB2312"/>
                <w:color w:val="auto"/>
                <w:sz w:val="28"/>
                <w:szCs w:val="28"/>
                <w:highlight w:val="none"/>
              </w:rPr>
              <w:t>电子邮箱</w:t>
            </w:r>
          </w:p>
        </w:tc>
        <w:tc>
          <w:tcPr>
            <w:tcW w:w="1161" w:type="dxa"/>
            <w:tcBorders>
              <w:top w:val="single" w:color="auto" w:sz="4" w:space="0"/>
              <w:left w:val="nil"/>
              <w:bottom w:val="single" w:color="auto" w:sz="4" w:space="0"/>
              <w:right w:val="single" w:color="auto" w:sz="4" w:space="0"/>
            </w:tcBorders>
            <w:noWrap w:val="0"/>
            <w:vAlign w:val="center"/>
          </w:tcPr>
          <w:p w14:paraId="35072C4E">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8"/>
                <w:szCs w:val="28"/>
                <w:highlight w:val="none"/>
              </w:rPr>
            </w:pPr>
          </w:p>
        </w:tc>
      </w:tr>
      <w:tr w14:paraId="39565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exact"/>
          <w:jc w:val="center"/>
        </w:trPr>
        <w:tc>
          <w:tcPr>
            <w:tcW w:w="1994" w:type="dxa"/>
            <w:tcBorders>
              <w:top w:val="single" w:color="auto" w:sz="4" w:space="0"/>
              <w:left w:val="single" w:color="auto" w:sz="4" w:space="0"/>
              <w:bottom w:val="single" w:color="auto" w:sz="4" w:space="0"/>
              <w:right w:val="single" w:color="auto" w:sz="4" w:space="0"/>
            </w:tcBorders>
            <w:noWrap w:val="0"/>
            <w:vAlign w:val="center"/>
          </w:tcPr>
          <w:p w14:paraId="116653BA">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8"/>
                <w:szCs w:val="28"/>
                <w:highlight w:val="none"/>
              </w:rPr>
            </w:pPr>
            <w:r>
              <w:rPr>
                <w:rFonts w:hint="eastAsia" w:ascii="宋体" w:hAnsi="宋体" w:eastAsia="仿宋_GB2312" w:cs="仿宋_GB2312"/>
                <w:color w:val="auto"/>
                <w:sz w:val="28"/>
                <w:szCs w:val="28"/>
                <w:highlight w:val="none"/>
              </w:rPr>
              <w:t>服务点名称</w:t>
            </w:r>
          </w:p>
        </w:tc>
        <w:tc>
          <w:tcPr>
            <w:tcW w:w="1520" w:type="dxa"/>
            <w:tcBorders>
              <w:top w:val="single" w:color="auto" w:sz="4" w:space="0"/>
              <w:left w:val="nil"/>
              <w:bottom w:val="single" w:color="auto" w:sz="4" w:space="0"/>
              <w:right w:val="single" w:color="auto" w:sz="4" w:space="0"/>
            </w:tcBorders>
            <w:noWrap w:val="0"/>
            <w:vAlign w:val="center"/>
          </w:tcPr>
          <w:p w14:paraId="09E2949D">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8"/>
                <w:szCs w:val="28"/>
                <w:highlight w:val="none"/>
              </w:rPr>
            </w:pPr>
          </w:p>
        </w:tc>
        <w:tc>
          <w:tcPr>
            <w:tcW w:w="1715" w:type="dxa"/>
            <w:tcBorders>
              <w:top w:val="single" w:color="auto" w:sz="4" w:space="0"/>
              <w:left w:val="nil"/>
              <w:bottom w:val="single" w:color="auto" w:sz="4" w:space="0"/>
              <w:right w:val="single" w:color="auto" w:sz="4" w:space="0"/>
            </w:tcBorders>
            <w:noWrap w:val="0"/>
            <w:vAlign w:val="center"/>
          </w:tcPr>
          <w:p w14:paraId="1E485CAA">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8"/>
                <w:szCs w:val="28"/>
                <w:highlight w:val="none"/>
              </w:rPr>
            </w:pPr>
            <w:r>
              <w:rPr>
                <w:rFonts w:hint="eastAsia" w:ascii="宋体" w:hAnsi="宋体" w:eastAsia="仿宋_GB2312" w:cs="仿宋_GB2312"/>
                <w:color w:val="auto"/>
                <w:sz w:val="28"/>
                <w:szCs w:val="28"/>
                <w:highlight w:val="none"/>
              </w:rPr>
              <w:t>服务点代码</w:t>
            </w:r>
          </w:p>
        </w:tc>
        <w:tc>
          <w:tcPr>
            <w:tcW w:w="3828" w:type="dxa"/>
            <w:gridSpan w:val="5"/>
            <w:tcBorders>
              <w:top w:val="single" w:color="auto" w:sz="4" w:space="0"/>
              <w:left w:val="nil"/>
              <w:bottom w:val="single" w:color="auto" w:sz="4" w:space="0"/>
              <w:right w:val="single" w:color="auto" w:sz="4" w:space="0"/>
            </w:tcBorders>
            <w:noWrap w:val="0"/>
            <w:vAlign w:val="center"/>
          </w:tcPr>
          <w:p w14:paraId="12E720E8">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8"/>
                <w:szCs w:val="28"/>
                <w:highlight w:val="none"/>
              </w:rPr>
            </w:pPr>
          </w:p>
        </w:tc>
      </w:tr>
      <w:tr w14:paraId="338F48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exact"/>
          <w:jc w:val="center"/>
        </w:trPr>
        <w:tc>
          <w:tcPr>
            <w:tcW w:w="1994" w:type="dxa"/>
            <w:tcBorders>
              <w:top w:val="single" w:color="auto" w:sz="4" w:space="0"/>
              <w:left w:val="single" w:color="auto" w:sz="4" w:space="0"/>
              <w:bottom w:val="single" w:color="auto" w:sz="4" w:space="0"/>
              <w:right w:val="single" w:color="auto" w:sz="4" w:space="0"/>
            </w:tcBorders>
            <w:noWrap w:val="0"/>
            <w:vAlign w:val="center"/>
          </w:tcPr>
          <w:p w14:paraId="3685891C">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8"/>
                <w:szCs w:val="28"/>
                <w:highlight w:val="none"/>
              </w:rPr>
            </w:pPr>
            <w:r>
              <w:rPr>
                <w:rFonts w:hint="eastAsia" w:ascii="宋体" w:hAnsi="宋体" w:eastAsia="仿宋_GB2312" w:cs="仿宋_GB2312"/>
                <w:color w:val="auto"/>
                <w:sz w:val="28"/>
                <w:szCs w:val="28"/>
                <w:highlight w:val="none"/>
              </w:rPr>
              <w:t>服务点负责人</w:t>
            </w:r>
          </w:p>
        </w:tc>
        <w:tc>
          <w:tcPr>
            <w:tcW w:w="1520" w:type="dxa"/>
            <w:tcBorders>
              <w:top w:val="single" w:color="auto" w:sz="4" w:space="0"/>
              <w:left w:val="nil"/>
              <w:bottom w:val="single" w:color="auto" w:sz="4" w:space="0"/>
              <w:right w:val="single" w:color="auto" w:sz="4" w:space="0"/>
            </w:tcBorders>
            <w:noWrap w:val="0"/>
            <w:vAlign w:val="center"/>
          </w:tcPr>
          <w:p w14:paraId="6B4236DF">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8"/>
                <w:szCs w:val="28"/>
                <w:highlight w:val="none"/>
              </w:rPr>
            </w:pPr>
          </w:p>
        </w:tc>
        <w:tc>
          <w:tcPr>
            <w:tcW w:w="1715" w:type="dxa"/>
            <w:tcBorders>
              <w:top w:val="single" w:color="auto" w:sz="4" w:space="0"/>
              <w:left w:val="nil"/>
              <w:bottom w:val="single" w:color="auto" w:sz="4" w:space="0"/>
              <w:right w:val="single" w:color="auto" w:sz="4" w:space="0"/>
            </w:tcBorders>
            <w:noWrap w:val="0"/>
            <w:vAlign w:val="center"/>
          </w:tcPr>
          <w:p w14:paraId="5C336798">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8"/>
                <w:szCs w:val="28"/>
                <w:highlight w:val="none"/>
              </w:rPr>
            </w:pPr>
            <w:r>
              <w:rPr>
                <w:rFonts w:hint="eastAsia" w:ascii="宋体" w:hAnsi="宋体" w:eastAsia="仿宋_GB2312" w:cs="仿宋_GB2312"/>
                <w:color w:val="auto"/>
                <w:sz w:val="28"/>
                <w:szCs w:val="28"/>
                <w:highlight w:val="none"/>
              </w:rPr>
              <w:t>服务点地址</w:t>
            </w:r>
          </w:p>
        </w:tc>
        <w:tc>
          <w:tcPr>
            <w:tcW w:w="3828" w:type="dxa"/>
            <w:gridSpan w:val="5"/>
            <w:tcBorders>
              <w:top w:val="single" w:color="auto" w:sz="4" w:space="0"/>
              <w:left w:val="nil"/>
              <w:bottom w:val="single" w:color="auto" w:sz="4" w:space="0"/>
              <w:right w:val="single" w:color="auto" w:sz="4" w:space="0"/>
            </w:tcBorders>
            <w:noWrap w:val="0"/>
            <w:vAlign w:val="center"/>
          </w:tcPr>
          <w:p w14:paraId="68C614D6">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8"/>
                <w:szCs w:val="28"/>
                <w:highlight w:val="none"/>
              </w:rPr>
            </w:pPr>
          </w:p>
        </w:tc>
      </w:tr>
      <w:tr w14:paraId="62DC7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exact"/>
          <w:jc w:val="center"/>
        </w:trPr>
        <w:tc>
          <w:tcPr>
            <w:tcW w:w="1994" w:type="dxa"/>
            <w:tcBorders>
              <w:top w:val="single" w:color="auto" w:sz="4" w:space="0"/>
              <w:left w:val="single" w:color="auto" w:sz="4" w:space="0"/>
              <w:bottom w:val="single" w:color="auto" w:sz="4" w:space="0"/>
              <w:right w:val="single" w:color="auto" w:sz="4" w:space="0"/>
            </w:tcBorders>
            <w:noWrap w:val="0"/>
            <w:vAlign w:val="center"/>
          </w:tcPr>
          <w:p w14:paraId="19E8EDCD">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8"/>
                <w:szCs w:val="28"/>
                <w:highlight w:val="none"/>
              </w:rPr>
            </w:pPr>
            <w:r>
              <w:rPr>
                <w:rFonts w:hint="eastAsia" w:ascii="宋体" w:hAnsi="宋体" w:eastAsia="仿宋_GB2312" w:cs="仿宋_GB2312"/>
                <w:color w:val="auto"/>
                <w:sz w:val="28"/>
                <w:szCs w:val="28"/>
                <w:highlight w:val="none"/>
              </w:rPr>
              <w:t>邮政编码</w:t>
            </w:r>
          </w:p>
        </w:tc>
        <w:tc>
          <w:tcPr>
            <w:tcW w:w="1520" w:type="dxa"/>
            <w:tcBorders>
              <w:top w:val="single" w:color="auto" w:sz="4" w:space="0"/>
              <w:left w:val="nil"/>
              <w:bottom w:val="single" w:color="auto" w:sz="4" w:space="0"/>
              <w:right w:val="single" w:color="auto" w:sz="4" w:space="0"/>
            </w:tcBorders>
            <w:noWrap w:val="0"/>
            <w:vAlign w:val="center"/>
          </w:tcPr>
          <w:p w14:paraId="74B3F89D">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8"/>
                <w:szCs w:val="28"/>
                <w:highlight w:val="none"/>
              </w:rPr>
            </w:pPr>
          </w:p>
        </w:tc>
        <w:tc>
          <w:tcPr>
            <w:tcW w:w="1715" w:type="dxa"/>
            <w:tcBorders>
              <w:top w:val="single" w:color="auto" w:sz="4" w:space="0"/>
              <w:left w:val="nil"/>
              <w:bottom w:val="single" w:color="auto" w:sz="4" w:space="0"/>
              <w:right w:val="single" w:color="auto" w:sz="4" w:space="0"/>
            </w:tcBorders>
            <w:noWrap w:val="0"/>
            <w:vAlign w:val="center"/>
          </w:tcPr>
          <w:p w14:paraId="465D7FF6">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8"/>
                <w:szCs w:val="28"/>
                <w:highlight w:val="none"/>
              </w:rPr>
            </w:pPr>
            <w:r>
              <w:rPr>
                <w:rFonts w:hint="eastAsia" w:ascii="宋体" w:hAnsi="宋体" w:eastAsia="仿宋_GB2312" w:cs="仿宋_GB2312"/>
                <w:color w:val="auto"/>
                <w:sz w:val="28"/>
                <w:szCs w:val="28"/>
                <w:highlight w:val="none"/>
              </w:rPr>
              <w:t>传真号码</w:t>
            </w:r>
          </w:p>
        </w:tc>
        <w:tc>
          <w:tcPr>
            <w:tcW w:w="1274" w:type="dxa"/>
            <w:gridSpan w:val="2"/>
            <w:tcBorders>
              <w:top w:val="single" w:color="auto" w:sz="4" w:space="0"/>
              <w:left w:val="nil"/>
              <w:bottom w:val="single" w:color="auto" w:sz="4" w:space="0"/>
              <w:right w:val="single" w:color="auto" w:sz="4" w:space="0"/>
            </w:tcBorders>
            <w:noWrap w:val="0"/>
            <w:vAlign w:val="center"/>
          </w:tcPr>
          <w:p w14:paraId="36D3EEA9">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8"/>
                <w:szCs w:val="28"/>
                <w:highlight w:val="none"/>
              </w:rPr>
            </w:pPr>
          </w:p>
        </w:tc>
        <w:tc>
          <w:tcPr>
            <w:tcW w:w="1393" w:type="dxa"/>
            <w:gridSpan w:val="2"/>
            <w:tcBorders>
              <w:top w:val="single" w:color="auto" w:sz="4" w:space="0"/>
              <w:left w:val="nil"/>
              <w:bottom w:val="single" w:color="auto" w:sz="4" w:space="0"/>
              <w:right w:val="single" w:color="auto" w:sz="4" w:space="0"/>
            </w:tcBorders>
            <w:noWrap w:val="0"/>
            <w:vAlign w:val="center"/>
          </w:tcPr>
          <w:p w14:paraId="0457D3F6">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8"/>
                <w:szCs w:val="28"/>
                <w:highlight w:val="none"/>
              </w:rPr>
            </w:pPr>
            <w:r>
              <w:rPr>
                <w:rFonts w:hint="eastAsia" w:ascii="宋体" w:hAnsi="宋体" w:eastAsia="仿宋_GB2312" w:cs="仿宋_GB2312"/>
                <w:color w:val="auto"/>
                <w:sz w:val="28"/>
                <w:szCs w:val="28"/>
                <w:highlight w:val="none"/>
              </w:rPr>
              <w:t>电子邮箱</w:t>
            </w:r>
          </w:p>
        </w:tc>
        <w:tc>
          <w:tcPr>
            <w:tcW w:w="1161" w:type="dxa"/>
            <w:tcBorders>
              <w:top w:val="single" w:color="auto" w:sz="4" w:space="0"/>
              <w:left w:val="nil"/>
              <w:bottom w:val="single" w:color="auto" w:sz="4" w:space="0"/>
              <w:right w:val="single" w:color="auto" w:sz="4" w:space="0"/>
            </w:tcBorders>
            <w:noWrap w:val="0"/>
            <w:vAlign w:val="center"/>
          </w:tcPr>
          <w:p w14:paraId="6CE2AB78">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8"/>
                <w:szCs w:val="28"/>
                <w:highlight w:val="none"/>
              </w:rPr>
            </w:pPr>
          </w:p>
        </w:tc>
      </w:tr>
      <w:tr w14:paraId="1EFCB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exact"/>
          <w:jc w:val="center"/>
        </w:trPr>
        <w:tc>
          <w:tcPr>
            <w:tcW w:w="1994" w:type="dxa"/>
            <w:tcBorders>
              <w:top w:val="single" w:color="auto" w:sz="4" w:space="0"/>
              <w:left w:val="single" w:color="auto" w:sz="4" w:space="0"/>
              <w:bottom w:val="single" w:color="auto" w:sz="4" w:space="0"/>
              <w:right w:val="single" w:color="auto" w:sz="4" w:space="0"/>
            </w:tcBorders>
            <w:noWrap w:val="0"/>
            <w:vAlign w:val="center"/>
          </w:tcPr>
          <w:p w14:paraId="6A18B4A7">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8"/>
                <w:szCs w:val="28"/>
                <w:highlight w:val="none"/>
              </w:rPr>
            </w:pPr>
            <w:r>
              <w:rPr>
                <w:rFonts w:hint="eastAsia" w:ascii="宋体" w:hAnsi="宋体" w:eastAsia="仿宋_GB2312" w:cs="仿宋_GB2312"/>
                <w:color w:val="auto"/>
                <w:sz w:val="28"/>
                <w:szCs w:val="28"/>
                <w:highlight w:val="none"/>
              </w:rPr>
              <w:t>联系人</w:t>
            </w:r>
          </w:p>
        </w:tc>
        <w:tc>
          <w:tcPr>
            <w:tcW w:w="1520" w:type="dxa"/>
            <w:tcBorders>
              <w:top w:val="single" w:color="auto" w:sz="4" w:space="0"/>
              <w:left w:val="nil"/>
              <w:bottom w:val="single" w:color="auto" w:sz="4" w:space="0"/>
              <w:right w:val="single" w:color="auto" w:sz="4" w:space="0"/>
            </w:tcBorders>
            <w:noWrap w:val="0"/>
            <w:vAlign w:val="center"/>
          </w:tcPr>
          <w:p w14:paraId="7803B57E">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8"/>
                <w:szCs w:val="28"/>
                <w:highlight w:val="none"/>
              </w:rPr>
            </w:pPr>
          </w:p>
        </w:tc>
        <w:tc>
          <w:tcPr>
            <w:tcW w:w="1715" w:type="dxa"/>
            <w:tcBorders>
              <w:top w:val="single" w:color="auto" w:sz="4" w:space="0"/>
              <w:left w:val="nil"/>
              <w:bottom w:val="single" w:color="auto" w:sz="4" w:space="0"/>
              <w:right w:val="single" w:color="auto" w:sz="4" w:space="0"/>
            </w:tcBorders>
            <w:noWrap w:val="0"/>
            <w:vAlign w:val="center"/>
          </w:tcPr>
          <w:p w14:paraId="280C38CC">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8"/>
                <w:szCs w:val="28"/>
                <w:highlight w:val="none"/>
              </w:rPr>
            </w:pPr>
            <w:r>
              <w:rPr>
                <w:rFonts w:hint="eastAsia" w:ascii="宋体" w:hAnsi="宋体" w:eastAsia="仿宋_GB2312" w:cs="仿宋_GB2312"/>
                <w:color w:val="auto"/>
                <w:sz w:val="28"/>
                <w:szCs w:val="28"/>
                <w:highlight w:val="none"/>
              </w:rPr>
              <w:t>办公电话</w:t>
            </w:r>
          </w:p>
        </w:tc>
        <w:tc>
          <w:tcPr>
            <w:tcW w:w="1274" w:type="dxa"/>
            <w:gridSpan w:val="2"/>
            <w:tcBorders>
              <w:top w:val="single" w:color="auto" w:sz="4" w:space="0"/>
              <w:left w:val="nil"/>
              <w:bottom w:val="single" w:color="auto" w:sz="4" w:space="0"/>
              <w:right w:val="single" w:color="auto" w:sz="4" w:space="0"/>
            </w:tcBorders>
            <w:noWrap w:val="0"/>
            <w:vAlign w:val="center"/>
          </w:tcPr>
          <w:p w14:paraId="499F4CC8">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8"/>
                <w:szCs w:val="28"/>
                <w:highlight w:val="none"/>
              </w:rPr>
            </w:pPr>
          </w:p>
        </w:tc>
        <w:tc>
          <w:tcPr>
            <w:tcW w:w="1393" w:type="dxa"/>
            <w:gridSpan w:val="2"/>
            <w:tcBorders>
              <w:top w:val="single" w:color="auto" w:sz="4" w:space="0"/>
              <w:left w:val="nil"/>
              <w:bottom w:val="single" w:color="auto" w:sz="4" w:space="0"/>
              <w:right w:val="single" w:color="auto" w:sz="4" w:space="0"/>
            </w:tcBorders>
            <w:noWrap w:val="0"/>
            <w:vAlign w:val="center"/>
          </w:tcPr>
          <w:p w14:paraId="44B83CBC">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8"/>
                <w:szCs w:val="28"/>
                <w:highlight w:val="none"/>
              </w:rPr>
            </w:pPr>
            <w:r>
              <w:rPr>
                <w:rFonts w:hint="eastAsia" w:ascii="宋体" w:hAnsi="宋体" w:eastAsia="仿宋_GB2312" w:cs="仿宋_GB2312"/>
                <w:color w:val="auto"/>
                <w:sz w:val="28"/>
                <w:szCs w:val="28"/>
                <w:highlight w:val="none"/>
              </w:rPr>
              <w:t>手 机</w:t>
            </w:r>
          </w:p>
        </w:tc>
        <w:tc>
          <w:tcPr>
            <w:tcW w:w="1161" w:type="dxa"/>
            <w:tcBorders>
              <w:top w:val="single" w:color="auto" w:sz="4" w:space="0"/>
              <w:left w:val="nil"/>
              <w:bottom w:val="single" w:color="auto" w:sz="4" w:space="0"/>
              <w:right w:val="single" w:color="auto" w:sz="4" w:space="0"/>
            </w:tcBorders>
            <w:noWrap w:val="0"/>
            <w:vAlign w:val="center"/>
          </w:tcPr>
          <w:p w14:paraId="65F293B2">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8"/>
                <w:szCs w:val="28"/>
                <w:highlight w:val="none"/>
              </w:rPr>
            </w:pPr>
          </w:p>
        </w:tc>
      </w:tr>
      <w:tr w14:paraId="3AADB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80" w:hRule="exact"/>
          <w:jc w:val="center"/>
        </w:trPr>
        <w:tc>
          <w:tcPr>
            <w:tcW w:w="1994" w:type="dxa"/>
            <w:tcBorders>
              <w:top w:val="single" w:color="auto" w:sz="4" w:space="0"/>
              <w:left w:val="single" w:color="auto" w:sz="4" w:space="0"/>
              <w:bottom w:val="single" w:color="auto" w:sz="4" w:space="0"/>
              <w:right w:val="single" w:color="auto" w:sz="4" w:space="0"/>
            </w:tcBorders>
            <w:noWrap w:val="0"/>
            <w:vAlign w:val="center"/>
          </w:tcPr>
          <w:p w14:paraId="64B093E4">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8"/>
                <w:szCs w:val="28"/>
                <w:highlight w:val="none"/>
              </w:rPr>
            </w:pPr>
            <w:r>
              <w:rPr>
                <w:rFonts w:hint="eastAsia" w:ascii="宋体" w:hAnsi="宋体" w:eastAsia="仿宋_GB2312" w:cs="仿宋_GB2312"/>
                <w:color w:val="auto"/>
                <w:sz w:val="28"/>
                <w:szCs w:val="28"/>
                <w:highlight w:val="none"/>
              </w:rPr>
              <w:t>服务点</w:t>
            </w:r>
          </w:p>
          <w:p w14:paraId="5AF8A9C6">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8"/>
                <w:szCs w:val="28"/>
                <w:highlight w:val="none"/>
              </w:rPr>
            </w:pPr>
            <w:r>
              <w:rPr>
                <w:rFonts w:hint="eastAsia" w:ascii="宋体" w:hAnsi="宋体" w:eastAsia="仿宋_GB2312" w:cs="仿宋_GB2312"/>
                <w:color w:val="auto"/>
                <w:sz w:val="28"/>
                <w:szCs w:val="28"/>
                <w:highlight w:val="none"/>
              </w:rPr>
              <w:t>基本情况</w:t>
            </w:r>
          </w:p>
        </w:tc>
        <w:tc>
          <w:tcPr>
            <w:tcW w:w="7063" w:type="dxa"/>
            <w:gridSpan w:val="7"/>
            <w:tcBorders>
              <w:top w:val="single" w:color="auto" w:sz="4" w:space="0"/>
              <w:left w:val="nil"/>
              <w:bottom w:val="single" w:color="auto" w:sz="4" w:space="0"/>
              <w:right w:val="single" w:color="auto" w:sz="4" w:space="0"/>
            </w:tcBorders>
            <w:noWrap w:val="0"/>
            <w:vAlign w:val="center"/>
          </w:tcPr>
          <w:p w14:paraId="6337BB28">
            <w:pPr>
              <w:keepNext w:val="0"/>
              <w:keepLines w:val="0"/>
              <w:pageBreakBefore w:val="0"/>
              <w:wordWrap/>
              <w:overflowPunct/>
              <w:topLinePunct w:val="0"/>
              <w:bidi w:val="0"/>
              <w:spacing w:line="560" w:lineRule="exact"/>
              <w:jc w:val="left"/>
              <w:rPr>
                <w:rFonts w:hint="eastAsia" w:ascii="宋体" w:hAnsi="宋体" w:eastAsia="仿宋_GB2312" w:cs="仿宋_GB2312"/>
                <w:color w:val="auto"/>
                <w:sz w:val="28"/>
                <w:szCs w:val="28"/>
                <w:highlight w:val="none"/>
              </w:rPr>
            </w:pPr>
          </w:p>
          <w:p w14:paraId="5DA16D0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仿宋_GB2312" w:cs="仿宋_GB2312"/>
                <w:color w:val="auto"/>
                <w:sz w:val="28"/>
                <w:szCs w:val="28"/>
                <w:highlight w:val="none"/>
              </w:rPr>
            </w:pPr>
            <w:r>
              <w:rPr>
                <w:rFonts w:hint="eastAsia" w:ascii="宋体" w:hAnsi="宋体" w:eastAsia="仿宋_GB2312" w:cs="仿宋_GB2312"/>
                <w:color w:val="auto"/>
                <w:sz w:val="28"/>
                <w:szCs w:val="28"/>
                <w:highlight w:val="none"/>
              </w:rPr>
              <w:t>（主要包括：服务点成立时间、建筑面积、人员配备、工作职责等）</w:t>
            </w:r>
          </w:p>
        </w:tc>
      </w:tr>
      <w:tr w14:paraId="4D94B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exact"/>
          <w:jc w:val="center"/>
        </w:trPr>
        <w:tc>
          <w:tcPr>
            <w:tcW w:w="6414" w:type="dxa"/>
            <w:gridSpan w:val="4"/>
            <w:tcBorders>
              <w:top w:val="single" w:color="auto" w:sz="4" w:space="0"/>
              <w:left w:val="single" w:color="auto" w:sz="4" w:space="0"/>
              <w:bottom w:val="single" w:color="auto" w:sz="4" w:space="0"/>
              <w:right w:val="single" w:color="auto" w:sz="4" w:space="0"/>
            </w:tcBorders>
            <w:noWrap w:val="0"/>
            <w:vAlign w:val="center"/>
          </w:tcPr>
          <w:p w14:paraId="3CE38BEE">
            <w:pPr>
              <w:keepNext w:val="0"/>
              <w:keepLines w:val="0"/>
              <w:pageBreakBefore w:val="0"/>
              <w:wordWrap/>
              <w:overflowPunct/>
              <w:topLinePunct w:val="0"/>
              <w:bidi w:val="0"/>
              <w:spacing w:line="560" w:lineRule="exact"/>
              <w:rPr>
                <w:rFonts w:hint="eastAsia" w:ascii="宋体" w:hAnsi="宋体" w:eastAsia="仿宋_GB2312" w:cs="仿宋_GB2312"/>
                <w:color w:val="auto"/>
                <w:spacing w:val="-20"/>
                <w:sz w:val="28"/>
                <w:szCs w:val="28"/>
                <w:highlight w:val="none"/>
              </w:rPr>
            </w:pPr>
            <w:r>
              <w:rPr>
                <w:rFonts w:hint="eastAsia" w:ascii="宋体" w:hAnsi="宋体" w:eastAsia="仿宋_GB2312" w:cs="仿宋_GB2312"/>
                <w:color w:val="auto"/>
                <w:sz w:val="28"/>
                <w:szCs w:val="28"/>
                <w:highlight w:val="none"/>
              </w:rPr>
              <w:t>近两年是否发生重大服务质量、安全等问题</w:t>
            </w:r>
          </w:p>
        </w:tc>
        <w:tc>
          <w:tcPr>
            <w:tcW w:w="2643" w:type="dxa"/>
            <w:gridSpan w:val="4"/>
            <w:tcBorders>
              <w:top w:val="single" w:color="auto" w:sz="4" w:space="0"/>
              <w:left w:val="nil"/>
              <w:bottom w:val="single" w:color="auto" w:sz="4" w:space="0"/>
              <w:right w:val="single" w:color="auto" w:sz="4" w:space="0"/>
            </w:tcBorders>
            <w:noWrap w:val="0"/>
            <w:vAlign w:val="center"/>
          </w:tcPr>
          <w:p w14:paraId="6A6BA97C">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8"/>
                <w:szCs w:val="28"/>
                <w:highlight w:val="none"/>
              </w:rPr>
            </w:pPr>
          </w:p>
        </w:tc>
      </w:tr>
      <w:tr w14:paraId="571CE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8" w:hRule="atLeast"/>
          <w:jc w:val="center"/>
        </w:trPr>
        <w:tc>
          <w:tcPr>
            <w:tcW w:w="9057" w:type="dxa"/>
            <w:gridSpan w:val="8"/>
            <w:tcBorders>
              <w:top w:val="single" w:color="auto" w:sz="4" w:space="0"/>
              <w:left w:val="single" w:color="auto" w:sz="4" w:space="0"/>
              <w:bottom w:val="single" w:color="auto" w:sz="4" w:space="0"/>
              <w:right w:val="single" w:color="auto" w:sz="4" w:space="0"/>
            </w:tcBorders>
            <w:noWrap w:val="0"/>
            <w:vAlign w:val="center"/>
          </w:tcPr>
          <w:p w14:paraId="5E6960D9">
            <w:pPr>
              <w:keepNext w:val="0"/>
              <w:keepLines w:val="0"/>
              <w:pageBreakBefore w:val="0"/>
              <w:wordWrap/>
              <w:overflowPunct/>
              <w:topLinePunct w:val="0"/>
              <w:bidi w:val="0"/>
              <w:spacing w:line="560" w:lineRule="exact"/>
              <w:rPr>
                <w:rFonts w:hint="eastAsia" w:ascii="宋体" w:hAnsi="宋体" w:eastAsia="仿宋_GB2312" w:cs="仿宋_GB2312"/>
                <w:color w:val="auto"/>
                <w:sz w:val="28"/>
                <w:szCs w:val="28"/>
                <w:highlight w:val="none"/>
              </w:rPr>
            </w:pPr>
            <w:r>
              <w:rPr>
                <w:rFonts w:hint="eastAsia" w:ascii="宋体" w:hAnsi="宋体" w:eastAsia="仿宋_GB2312" w:cs="仿宋_GB2312"/>
                <w:color w:val="auto"/>
                <w:sz w:val="28"/>
                <w:szCs w:val="28"/>
                <w:highlight w:val="none"/>
              </w:rPr>
              <w:t xml:space="preserve">申请单位意见：             </w:t>
            </w:r>
          </w:p>
          <w:p w14:paraId="208385BC">
            <w:pPr>
              <w:keepNext w:val="0"/>
              <w:keepLines w:val="0"/>
              <w:pageBreakBefore w:val="0"/>
              <w:wordWrap/>
              <w:overflowPunct/>
              <w:topLinePunct w:val="0"/>
              <w:bidi w:val="0"/>
              <w:spacing w:line="560" w:lineRule="exact"/>
              <w:ind w:firstLine="3421" w:firstLineChars="1222"/>
              <w:rPr>
                <w:rFonts w:hint="eastAsia" w:ascii="宋体" w:hAnsi="宋体" w:eastAsia="仿宋_GB2312" w:cs="仿宋_GB2312"/>
                <w:color w:val="auto"/>
                <w:sz w:val="28"/>
                <w:szCs w:val="28"/>
                <w:highlight w:val="none"/>
              </w:rPr>
            </w:pPr>
            <w:r>
              <w:rPr>
                <w:rFonts w:hint="eastAsia" w:ascii="宋体" w:hAnsi="宋体" w:eastAsia="仿宋_GB2312" w:cs="仿宋_GB2312"/>
                <w:color w:val="auto"/>
                <w:sz w:val="28"/>
                <w:szCs w:val="28"/>
                <w:highlight w:val="none"/>
              </w:rPr>
              <w:t>签字（盖章）：       年    月    日</w:t>
            </w:r>
          </w:p>
        </w:tc>
      </w:tr>
      <w:tr w14:paraId="0D1E58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8" w:hRule="atLeast"/>
          <w:jc w:val="center"/>
        </w:trPr>
        <w:tc>
          <w:tcPr>
            <w:tcW w:w="9057" w:type="dxa"/>
            <w:gridSpan w:val="8"/>
            <w:tcBorders>
              <w:top w:val="single" w:color="auto" w:sz="4" w:space="0"/>
              <w:left w:val="single" w:color="auto" w:sz="4" w:space="0"/>
              <w:bottom w:val="single" w:color="auto" w:sz="4" w:space="0"/>
              <w:right w:val="single" w:color="auto" w:sz="4" w:space="0"/>
            </w:tcBorders>
            <w:noWrap w:val="0"/>
            <w:vAlign w:val="center"/>
          </w:tcPr>
          <w:p w14:paraId="1F678280">
            <w:pPr>
              <w:keepNext w:val="0"/>
              <w:keepLines w:val="0"/>
              <w:pageBreakBefore w:val="0"/>
              <w:wordWrap/>
              <w:overflowPunct/>
              <w:topLinePunct w:val="0"/>
              <w:bidi w:val="0"/>
              <w:spacing w:line="560" w:lineRule="exact"/>
              <w:rPr>
                <w:rFonts w:hint="eastAsia" w:ascii="宋体" w:hAnsi="宋体" w:eastAsia="仿宋_GB2312" w:cs="仿宋_GB2312"/>
                <w:color w:val="auto"/>
                <w:sz w:val="28"/>
                <w:szCs w:val="28"/>
                <w:highlight w:val="none"/>
              </w:rPr>
            </w:pPr>
            <w:r>
              <w:rPr>
                <w:rFonts w:hint="eastAsia" w:ascii="宋体" w:hAnsi="宋体" w:eastAsia="仿宋_GB2312" w:cs="仿宋_GB2312"/>
                <w:color w:val="auto"/>
                <w:sz w:val="28"/>
                <w:szCs w:val="28"/>
                <w:highlight w:val="none"/>
              </w:rPr>
              <w:t>社保部门意见：</w:t>
            </w:r>
          </w:p>
          <w:p w14:paraId="01D55699">
            <w:pPr>
              <w:keepNext w:val="0"/>
              <w:keepLines w:val="0"/>
              <w:pageBreakBefore w:val="0"/>
              <w:wordWrap/>
              <w:overflowPunct/>
              <w:topLinePunct w:val="0"/>
              <w:bidi w:val="0"/>
              <w:spacing w:line="560" w:lineRule="exact"/>
              <w:ind w:firstLine="3421" w:firstLineChars="1222"/>
              <w:rPr>
                <w:rFonts w:hint="eastAsia" w:ascii="宋体" w:hAnsi="宋体" w:eastAsia="仿宋_GB2312" w:cs="仿宋_GB2312"/>
                <w:color w:val="auto"/>
                <w:sz w:val="28"/>
                <w:szCs w:val="28"/>
                <w:highlight w:val="none"/>
              </w:rPr>
            </w:pPr>
            <w:r>
              <w:rPr>
                <w:rFonts w:hint="eastAsia" w:ascii="宋体" w:hAnsi="宋体" w:eastAsia="仿宋_GB2312" w:cs="仿宋_GB2312"/>
                <w:color w:val="auto"/>
                <w:sz w:val="28"/>
                <w:szCs w:val="28"/>
                <w:highlight w:val="none"/>
              </w:rPr>
              <w:t>签字（盖章）：       年    月    日</w:t>
            </w:r>
          </w:p>
        </w:tc>
      </w:tr>
    </w:tbl>
    <w:p w14:paraId="56591A5C">
      <w:pPr>
        <w:keepNext w:val="0"/>
        <w:keepLines w:val="0"/>
        <w:pageBreakBefore w:val="0"/>
        <w:wordWrap/>
        <w:overflowPunct/>
        <w:topLinePunct w:val="0"/>
        <w:bidi w:val="0"/>
        <w:spacing w:line="560" w:lineRule="exact"/>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rPr>
        <w:t>附件</w:t>
      </w:r>
      <w:r>
        <w:rPr>
          <w:rFonts w:hint="eastAsia" w:ascii="黑体" w:hAnsi="黑体" w:eastAsia="黑体" w:cs="黑体"/>
          <w:color w:val="auto"/>
          <w:sz w:val="32"/>
          <w:szCs w:val="32"/>
          <w:highlight w:val="none"/>
          <w:lang w:val="en-US" w:eastAsia="zh-CN"/>
        </w:rPr>
        <w:t>3</w:t>
      </w:r>
    </w:p>
    <w:p w14:paraId="6B5623A5">
      <w:pPr>
        <w:keepNext w:val="0"/>
        <w:keepLines w:val="0"/>
        <w:pageBreakBefore w:val="0"/>
        <w:wordWrap/>
        <w:overflowPunct/>
        <w:topLinePunct w:val="0"/>
        <w:bidi w:val="0"/>
        <w:spacing w:line="560" w:lineRule="exact"/>
        <w:rPr>
          <w:rFonts w:hint="eastAsia" w:ascii="黑体" w:hAnsi="黑体" w:eastAsia="黑体" w:cs="黑体"/>
          <w:color w:val="auto"/>
          <w:sz w:val="32"/>
          <w:szCs w:val="32"/>
          <w:highlight w:val="none"/>
          <w:lang w:val="en-US" w:eastAsia="zh-CN"/>
        </w:rPr>
      </w:pPr>
    </w:p>
    <w:p w14:paraId="78AA6E2E">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宋体" w:hAnsi="宋体" w:eastAsia="方正小标宋简体" w:cs="方正小标宋简体"/>
          <w:b w:val="0"/>
          <w:bCs w:val="0"/>
          <w:snapToGrid w:val="0"/>
          <w:color w:val="auto"/>
          <w:kern w:val="0"/>
          <w:sz w:val="44"/>
          <w:szCs w:val="44"/>
          <w:highlight w:val="none"/>
        </w:rPr>
      </w:pPr>
      <w:r>
        <w:rPr>
          <w:rFonts w:hint="eastAsia" w:ascii="宋体" w:hAnsi="宋体" w:eastAsia="方正小标宋简体" w:cs="方正小标宋简体"/>
          <w:b w:val="0"/>
          <w:bCs w:val="0"/>
          <w:snapToGrid w:val="0"/>
          <w:color w:val="auto"/>
          <w:kern w:val="0"/>
          <w:sz w:val="44"/>
          <w:szCs w:val="44"/>
          <w:highlight w:val="none"/>
        </w:rPr>
        <w:t>保密承诺书</w:t>
      </w:r>
    </w:p>
    <w:p w14:paraId="056A9C05">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方正小标宋简体" w:hAnsi="方正小标宋简体" w:eastAsia="方正小标宋简体" w:cs="方正小标宋简体"/>
          <w:snapToGrid w:val="0"/>
          <w:color w:val="auto"/>
          <w:kern w:val="0"/>
          <w:sz w:val="44"/>
          <w:szCs w:val="44"/>
          <w:highlight w:val="none"/>
        </w:rPr>
      </w:pPr>
    </w:p>
    <w:p w14:paraId="3131CF94">
      <w:pPr>
        <w:keepNext w:val="0"/>
        <w:keepLines w:val="0"/>
        <w:pageBreakBefore w:val="0"/>
        <w:wordWrap/>
        <w:overflowPunct/>
        <w:topLinePunct w:val="0"/>
        <w:bidi w:val="0"/>
        <w:spacing w:line="560" w:lineRule="exact"/>
        <w:ind w:firstLine="638" w:firstLineChars="210"/>
        <w:rPr>
          <w:rFonts w:hint="eastAsia" w:ascii="宋体" w:hAnsi="宋体" w:eastAsia="仿宋_GB2312" w:cs="仿宋_GB2312"/>
          <w:snapToGrid w:val="0"/>
          <w:color w:val="auto"/>
          <w:spacing w:val="-8"/>
          <w:kern w:val="0"/>
          <w:sz w:val="32"/>
          <w:szCs w:val="32"/>
          <w:highlight w:val="none"/>
        </w:rPr>
      </w:pPr>
      <w:r>
        <w:rPr>
          <w:rFonts w:hint="eastAsia" w:ascii="宋体" w:hAnsi="宋体" w:eastAsia="仿宋_GB2312" w:cs="仿宋_GB2312"/>
          <w:snapToGrid w:val="0"/>
          <w:color w:val="auto"/>
          <w:spacing w:val="-8"/>
          <w:kern w:val="0"/>
          <w:sz w:val="32"/>
          <w:szCs w:val="32"/>
          <w:highlight w:val="none"/>
        </w:rPr>
        <w:t>我了解有关保密法律、法规和规章制度，知悉应当承担的保密义务和法律责任。本人庄重承诺：</w:t>
      </w:r>
    </w:p>
    <w:p w14:paraId="42AEE003">
      <w:pPr>
        <w:keepNext w:val="0"/>
        <w:keepLines w:val="0"/>
        <w:pageBreakBefore w:val="0"/>
        <w:wordWrap/>
        <w:overflowPunct/>
        <w:topLinePunct w:val="0"/>
        <w:bidi w:val="0"/>
        <w:spacing w:line="560" w:lineRule="exact"/>
        <w:ind w:firstLine="638" w:firstLineChars="210"/>
        <w:rPr>
          <w:rFonts w:hint="eastAsia" w:ascii="宋体" w:hAnsi="宋体" w:eastAsia="仿宋_GB2312" w:cs="仿宋_GB2312"/>
          <w:snapToGrid w:val="0"/>
          <w:color w:val="auto"/>
          <w:spacing w:val="-8"/>
          <w:kern w:val="0"/>
          <w:sz w:val="32"/>
          <w:szCs w:val="32"/>
          <w:highlight w:val="none"/>
        </w:rPr>
      </w:pPr>
      <w:r>
        <w:rPr>
          <w:rFonts w:hint="eastAsia" w:ascii="宋体" w:hAnsi="宋体" w:eastAsia="仿宋_GB2312" w:cs="仿宋_GB2312"/>
          <w:snapToGrid w:val="0"/>
          <w:color w:val="auto"/>
          <w:spacing w:val="-8"/>
          <w:kern w:val="0"/>
          <w:sz w:val="32"/>
          <w:szCs w:val="32"/>
          <w:highlight w:val="none"/>
        </w:rPr>
        <w:t>一、本人所提供个人信息真实有效，自愿接受和配合保密审查。</w:t>
      </w:r>
    </w:p>
    <w:p w14:paraId="40020AFD">
      <w:pPr>
        <w:keepNext w:val="0"/>
        <w:keepLines w:val="0"/>
        <w:pageBreakBefore w:val="0"/>
        <w:wordWrap/>
        <w:overflowPunct/>
        <w:topLinePunct w:val="0"/>
        <w:bidi w:val="0"/>
        <w:spacing w:line="560" w:lineRule="exact"/>
        <w:ind w:firstLine="638" w:firstLineChars="210"/>
        <w:rPr>
          <w:rFonts w:hint="eastAsia" w:ascii="宋体" w:hAnsi="宋体" w:eastAsia="仿宋_GB2312" w:cs="仿宋_GB2312"/>
          <w:snapToGrid w:val="0"/>
          <w:color w:val="auto"/>
          <w:spacing w:val="-8"/>
          <w:kern w:val="0"/>
          <w:sz w:val="32"/>
          <w:szCs w:val="32"/>
          <w:highlight w:val="none"/>
        </w:rPr>
      </w:pPr>
      <w:r>
        <w:rPr>
          <w:rFonts w:hint="eastAsia" w:ascii="宋体" w:hAnsi="宋体" w:eastAsia="仿宋_GB2312" w:cs="仿宋_GB2312"/>
          <w:snapToGrid w:val="0"/>
          <w:color w:val="auto"/>
          <w:spacing w:val="-8"/>
          <w:kern w:val="0"/>
          <w:sz w:val="32"/>
          <w:szCs w:val="32"/>
          <w:highlight w:val="none"/>
        </w:rPr>
        <w:t>二、自觉遵守国家保密法律、法规和规章制度，履行保密义务，接受保密教育、培训和监督管理。</w:t>
      </w:r>
    </w:p>
    <w:p w14:paraId="06A9CA49">
      <w:pPr>
        <w:keepNext w:val="0"/>
        <w:keepLines w:val="0"/>
        <w:pageBreakBefore w:val="0"/>
        <w:wordWrap/>
        <w:overflowPunct/>
        <w:topLinePunct w:val="0"/>
        <w:bidi w:val="0"/>
        <w:spacing w:line="560" w:lineRule="exact"/>
        <w:ind w:firstLine="638" w:firstLineChars="210"/>
        <w:rPr>
          <w:rFonts w:hint="eastAsia" w:ascii="宋体" w:hAnsi="宋体" w:eastAsia="仿宋_GB2312" w:cs="仿宋_GB2312"/>
          <w:snapToGrid w:val="0"/>
          <w:color w:val="auto"/>
          <w:spacing w:val="-8"/>
          <w:kern w:val="0"/>
          <w:sz w:val="32"/>
          <w:szCs w:val="32"/>
          <w:highlight w:val="none"/>
        </w:rPr>
      </w:pPr>
      <w:r>
        <w:rPr>
          <w:rFonts w:hint="eastAsia" w:ascii="宋体" w:hAnsi="宋体" w:eastAsia="仿宋_GB2312" w:cs="仿宋_GB2312"/>
          <w:snapToGrid w:val="0"/>
          <w:color w:val="auto"/>
          <w:spacing w:val="-8"/>
          <w:kern w:val="0"/>
          <w:sz w:val="32"/>
          <w:szCs w:val="32"/>
          <w:highlight w:val="none"/>
        </w:rPr>
        <w:t>三、不私自下载、截取、导出、存储社会保险业务数据；不违规记录、存储、复制参保人或参保单位提交的含有国家秘密标志申请材料。</w:t>
      </w:r>
    </w:p>
    <w:p w14:paraId="58D7306D">
      <w:pPr>
        <w:keepNext w:val="0"/>
        <w:keepLines w:val="0"/>
        <w:pageBreakBefore w:val="0"/>
        <w:wordWrap/>
        <w:overflowPunct/>
        <w:topLinePunct w:val="0"/>
        <w:bidi w:val="0"/>
        <w:spacing w:line="560" w:lineRule="exact"/>
        <w:ind w:firstLine="638" w:firstLineChars="210"/>
        <w:rPr>
          <w:rFonts w:hint="eastAsia" w:ascii="宋体" w:hAnsi="宋体" w:eastAsia="仿宋_GB2312" w:cs="仿宋_GB2312"/>
          <w:snapToGrid w:val="0"/>
          <w:color w:val="auto"/>
          <w:spacing w:val="-8"/>
          <w:kern w:val="0"/>
          <w:sz w:val="32"/>
          <w:szCs w:val="32"/>
          <w:highlight w:val="none"/>
        </w:rPr>
      </w:pPr>
      <w:r>
        <w:rPr>
          <w:rFonts w:hint="eastAsia" w:ascii="宋体" w:hAnsi="宋体" w:eastAsia="仿宋_GB2312" w:cs="仿宋_GB2312"/>
          <w:snapToGrid w:val="0"/>
          <w:color w:val="auto"/>
          <w:spacing w:val="-8"/>
          <w:kern w:val="0"/>
          <w:sz w:val="32"/>
          <w:szCs w:val="32"/>
          <w:highlight w:val="none"/>
        </w:rPr>
        <w:t>四、发现失泄密隐患时，及时采取补救措施，并向单位报告。</w:t>
      </w:r>
    </w:p>
    <w:p w14:paraId="5E3B37B5">
      <w:pPr>
        <w:keepNext w:val="0"/>
        <w:keepLines w:val="0"/>
        <w:pageBreakBefore w:val="0"/>
        <w:wordWrap/>
        <w:overflowPunct/>
        <w:topLinePunct w:val="0"/>
        <w:bidi w:val="0"/>
        <w:spacing w:line="560" w:lineRule="exact"/>
        <w:ind w:firstLine="638" w:firstLineChars="210"/>
        <w:rPr>
          <w:rFonts w:hint="eastAsia" w:ascii="宋体" w:hAnsi="宋体" w:eastAsia="仿宋_GB2312" w:cs="仿宋_GB2312"/>
          <w:snapToGrid w:val="0"/>
          <w:color w:val="auto"/>
          <w:spacing w:val="-8"/>
          <w:kern w:val="0"/>
          <w:sz w:val="32"/>
          <w:szCs w:val="32"/>
          <w:highlight w:val="none"/>
        </w:rPr>
      </w:pPr>
      <w:r>
        <w:rPr>
          <w:rFonts w:hint="eastAsia" w:ascii="宋体" w:hAnsi="宋体" w:eastAsia="仿宋_GB2312" w:cs="仿宋_GB2312"/>
          <w:snapToGrid w:val="0"/>
          <w:color w:val="auto"/>
          <w:spacing w:val="-8"/>
          <w:kern w:val="0"/>
          <w:sz w:val="32"/>
          <w:szCs w:val="32"/>
          <w:highlight w:val="none"/>
        </w:rPr>
        <w:t>五、不擅自发表涉及社会保险内容未公开的文章、著述，不在发布新闻或接受采访过程中涉及知悉的国家秘密。</w:t>
      </w:r>
    </w:p>
    <w:p w14:paraId="242F00CA">
      <w:pPr>
        <w:keepNext w:val="0"/>
        <w:keepLines w:val="0"/>
        <w:pageBreakBefore w:val="0"/>
        <w:wordWrap/>
        <w:overflowPunct/>
        <w:topLinePunct w:val="0"/>
        <w:bidi w:val="0"/>
        <w:spacing w:line="560" w:lineRule="exact"/>
        <w:ind w:firstLine="638" w:firstLineChars="210"/>
        <w:rPr>
          <w:rFonts w:hint="eastAsia" w:ascii="宋体" w:hAnsi="宋体" w:eastAsia="仿宋_GB2312" w:cs="仿宋_GB2312"/>
          <w:snapToGrid w:val="0"/>
          <w:color w:val="auto"/>
          <w:spacing w:val="-8"/>
          <w:kern w:val="0"/>
          <w:sz w:val="32"/>
          <w:szCs w:val="32"/>
          <w:highlight w:val="none"/>
        </w:rPr>
      </w:pPr>
      <w:r>
        <w:rPr>
          <w:rFonts w:hint="eastAsia" w:ascii="宋体" w:hAnsi="宋体" w:eastAsia="仿宋_GB2312" w:cs="仿宋_GB2312"/>
          <w:snapToGrid w:val="0"/>
          <w:color w:val="auto"/>
          <w:spacing w:val="-8"/>
          <w:kern w:val="0"/>
          <w:sz w:val="32"/>
          <w:szCs w:val="32"/>
          <w:highlight w:val="none"/>
        </w:rPr>
        <w:t>六、离职离岗时自愿接受脱密期管理，遵守脱密期择业、出国（境）要求，脱密期届满后，继续承担保守国家秘密的责任和义务。</w:t>
      </w:r>
    </w:p>
    <w:p w14:paraId="65A566F9">
      <w:pPr>
        <w:keepNext w:val="0"/>
        <w:keepLines w:val="0"/>
        <w:pageBreakBefore w:val="0"/>
        <w:wordWrap/>
        <w:overflowPunct/>
        <w:topLinePunct w:val="0"/>
        <w:bidi w:val="0"/>
        <w:spacing w:line="560" w:lineRule="exact"/>
        <w:ind w:firstLine="638" w:firstLineChars="210"/>
        <w:rPr>
          <w:rFonts w:hint="eastAsia" w:ascii="宋体" w:hAnsi="宋体" w:eastAsia="仿宋_GB2312" w:cs="仿宋_GB2312"/>
          <w:snapToGrid w:val="0"/>
          <w:color w:val="auto"/>
          <w:spacing w:val="-8"/>
          <w:kern w:val="0"/>
          <w:sz w:val="32"/>
          <w:szCs w:val="32"/>
          <w:highlight w:val="none"/>
        </w:rPr>
      </w:pPr>
      <w:r>
        <w:rPr>
          <w:rFonts w:hint="eastAsia" w:ascii="宋体" w:hAnsi="宋体" w:eastAsia="仿宋_GB2312" w:cs="仿宋_GB2312"/>
          <w:snapToGrid w:val="0"/>
          <w:color w:val="auto"/>
          <w:spacing w:val="-8"/>
          <w:kern w:val="0"/>
          <w:sz w:val="32"/>
          <w:szCs w:val="32"/>
          <w:highlight w:val="none"/>
        </w:rPr>
        <w:t>七、违反上述承诺，自愿承担法律责任。</w:t>
      </w:r>
    </w:p>
    <w:p w14:paraId="13190A5B">
      <w:pPr>
        <w:keepNext w:val="0"/>
        <w:keepLines w:val="0"/>
        <w:pageBreakBefore w:val="0"/>
        <w:wordWrap/>
        <w:overflowPunct/>
        <w:topLinePunct w:val="0"/>
        <w:bidi w:val="0"/>
        <w:spacing w:line="560" w:lineRule="exact"/>
        <w:rPr>
          <w:rFonts w:hint="eastAsia" w:ascii="宋体" w:hAnsi="宋体" w:eastAsia="仿宋_GB2312" w:cs="仿宋_GB2312"/>
          <w:snapToGrid w:val="0"/>
          <w:color w:val="auto"/>
          <w:spacing w:val="-8"/>
          <w:kern w:val="0"/>
          <w:sz w:val="32"/>
          <w:szCs w:val="32"/>
          <w:highlight w:val="none"/>
        </w:rPr>
      </w:pPr>
    </w:p>
    <w:p w14:paraId="6831E121">
      <w:pPr>
        <w:keepNext w:val="0"/>
        <w:keepLines w:val="0"/>
        <w:pageBreakBefore w:val="0"/>
        <w:wordWrap/>
        <w:overflowPunct/>
        <w:topLinePunct w:val="0"/>
        <w:bidi w:val="0"/>
        <w:spacing w:line="560" w:lineRule="exact"/>
        <w:rPr>
          <w:rFonts w:hint="eastAsia" w:ascii="宋体" w:hAnsi="宋体" w:eastAsia="仿宋_GB2312" w:cs="仿宋_GB2312"/>
          <w:snapToGrid w:val="0"/>
          <w:color w:val="auto"/>
          <w:spacing w:val="-8"/>
          <w:kern w:val="0"/>
          <w:sz w:val="32"/>
          <w:szCs w:val="32"/>
          <w:highlight w:val="none"/>
        </w:rPr>
      </w:pPr>
    </w:p>
    <w:p w14:paraId="75766B9B">
      <w:pPr>
        <w:keepNext w:val="0"/>
        <w:keepLines w:val="0"/>
        <w:pageBreakBefore w:val="0"/>
        <w:wordWrap/>
        <w:overflowPunct/>
        <w:topLinePunct w:val="0"/>
        <w:bidi w:val="0"/>
        <w:spacing w:line="560" w:lineRule="exact"/>
        <w:ind w:firstLine="5678" w:firstLineChars="1868"/>
        <w:rPr>
          <w:rFonts w:hint="eastAsia" w:ascii="宋体" w:hAnsi="宋体" w:eastAsia="仿宋_GB2312" w:cs="仿宋_GB2312"/>
          <w:snapToGrid w:val="0"/>
          <w:color w:val="auto"/>
          <w:spacing w:val="-8"/>
          <w:kern w:val="0"/>
          <w:sz w:val="32"/>
          <w:szCs w:val="32"/>
          <w:highlight w:val="none"/>
        </w:rPr>
      </w:pPr>
      <w:r>
        <w:rPr>
          <w:rFonts w:hint="eastAsia" w:ascii="宋体" w:hAnsi="宋体" w:eastAsia="仿宋_GB2312" w:cs="仿宋_GB2312"/>
          <w:snapToGrid w:val="0"/>
          <w:color w:val="auto"/>
          <w:spacing w:val="-8"/>
          <w:kern w:val="0"/>
          <w:sz w:val="32"/>
          <w:szCs w:val="32"/>
          <w:highlight w:val="none"/>
        </w:rPr>
        <w:t>承诺人签字：</w:t>
      </w:r>
    </w:p>
    <w:p w14:paraId="1CB80072">
      <w:pPr>
        <w:keepNext w:val="0"/>
        <w:keepLines w:val="0"/>
        <w:pageBreakBefore w:val="0"/>
        <w:wordWrap/>
        <w:overflowPunct/>
        <w:topLinePunct w:val="0"/>
        <w:bidi w:val="0"/>
        <w:spacing w:line="560" w:lineRule="exact"/>
        <w:ind w:firstLine="5678" w:firstLineChars="1868"/>
        <w:rPr>
          <w:rFonts w:hint="eastAsia" w:ascii="宋体" w:hAnsi="宋体" w:eastAsia="仿宋_GB2312" w:cs="仿宋_GB2312"/>
          <w:snapToGrid w:val="0"/>
          <w:color w:val="auto"/>
          <w:spacing w:val="-8"/>
          <w:kern w:val="0"/>
          <w:sz w:val="32"/>
          <w:szCs w:val="32"/>
          <w:highlight w:val="none"/>
        </w:rPr>
      </w:pPr>
      <w:r>
        <w:rPr>
          <w:rFonts w:hint="eastAsia" w:ascii="宋体" w:hAnsi="宋体" w:eastAsia="仿宋_GB2312" w:cs="仿宋_GB2312"/>
          <w:snapToGrid w:val="0"/>
          <w:color w:val="auto"/>
          <w:spacing w:val="-8"/>
          <w:kern w:val="0"/>
          <w:sz w:val="32"/>
          <w:szCs w:val="32"/>
          <w:highlight w:val="none"/>
        </w:rPr>
        <w:t>年   月   日</w:t>
      </w:r>
    </w:p>
    <w:p w14:paraId="7A8E9B10">
      <w:pPr>
        <w:keepNext w:val="0"/>
        <w:keepLines w:val="0"/>
        <w:pageBreakBefore w:val="0"/>
        <w:wordWrap/>
        <w:overflowPunct/>
        <w:topLinePunct w:val="0"/>
        <w:bidi w:val="0"/>
        <w:spacing w:line="560" w:lineRule="exact"/>
        <w:jc w:val="left"/>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rPr>
        <w:t>附件</w:t>
      </w:r>
      <w:r>
        <w:rPr>
          <w:rFonts w:hint="eastAsia" w:ascii="黑体" w:hAnsi="黑体" w:eastAsia="黑体" w:cs="黑体"/>
          <w:color w:val="auto"/>
          <w:sz w:val="32"/>
          <w:szCs w:val="32"/>
          <w:highlight w:val="none"/>
          <w:lang w:val="en-US" w:eastAsia="zh-CN"/>
        </w:rPr>
        <w:t>4</w:t>
      </w:r>
    </w:p>
    <w:p w14:paraId="65F7BA97">
      <w:pPr>
        <w:keepNext w:val="0"/>
        <w:keepLines w:val="0"/>
        <w:pageBreakBefore w:val="0"/>
        <w:wordWrap/>
        <w:overflowPunct/>
        <w:topLinePunct w:val="0"/>
        <w:bidi w:val="0"/>
        <w:spacing w:line="560" w:lineRule="exact"/>
        <w:jc w:val="left"/>
        <w:rPr>
          <w:rFonts w:hint="eastAsia" w:ascii="黑体" w:hAnsi="黑体" w:eastAsia="黑体" w:cs="黑体"/>
          <w:color w:val="auto"/>
          <w:sz w:val="32"/>
          <w:szCs w:val="32"/>
          <w:highlight w:val="none"/>
        </w:rPr>
      </w:pPr>
    </w:p>
    <w:p w14:paraId="5DD78BC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合作银行经办社保业务受理资料汇总表</w:t>
      </w:r>
    </w:p>
    <w:p w14:paraId="2247A64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44"/>
          <w:highlight w:val="none"/>
        </w:rPr>
      </w:pPr>
    </w:p>
    <w:tbl>
      <w:tblPr>
        <w:tblStyle w:val="7"/>
        <w:tblpPr w:leftFromText="180" w:rightFromText="180" w:vertAnchor="text" w:tblpXSpec="center" w:tblpY="1"/>
        <w:tblOverlap w:val="never"/>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2595"/>
        <w:gridCol w:w="777"/>
        <w:gridCol w:w="1269"/>
        <w:gridCol w:w="1742"/>
        <w:gridCol w:w="1520"/>
      </w:tblGrid>
      <w:tr w14:paraId="0379F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exact"/>
        </w:trPr>
        <w:tc>
          <w:tcPr>
            <w:tcW w:w="1158" w:type="dxa"/>
            <w:noWrap w:val="0"/>
            <w:vAlign w:val="center"/>
          </w:tcPr>
          <w:p w14:paraId="68A7C5B7">
            <w:pPr>
              <w:keepNext w:val="0"/>
              <w:keepLines w:val="0"/>
              <w:pageBreakBefore w:val="0"/>
              <w:wordWrap/>
              <w:overflowPunct/>
              <w:topLinePunct w:val="0"/>
              <w:bidi w:val="0"/>
              <w:spacing w:line="560" w:lineRule="exact"/>
              <w:jc w:val="center"/>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序号</w:t>
            </w:r>
          </w:p>
        </w:tc>
        <w:tc>
          <w:tcPr>
            <w:tcW w:w="2595" w:type="dxa"/>
            <w:noWrap w:val="0"/>
            <w:vAlign w:val="center"/>
          </w:tcPr>
          <w:p w14:paraId="5C9A1F10">
            <w:pPr>
              <w:keepNext w:val="0"/>
              <w:keepLines w:val="0"/>
              <w:pageBreakBefore w:val="0"/>
              <w:wordWrap/>
              <w:overflowPunct/>
              <w:topLinePunct w:val="0"/>
              <w:bidi w:val="0"/>
              <w:spacing w:line="560" w:lineRule="exact"/>
              <w:jc w:val="center"/>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资料名称</w:t>
            </w:r>
          </w:p>
        </w:tc>
        <w:tc>
          <w:tcPr>
            <w:tcW w:w="2046" w:type="dxa"/>
            <w:gridSpan w:val="2"/>
            <w:noWrap w:val="0"/>
            <w:vAlign w:val="center"/>
          </w:tcPr>
          <w:p w14:paraId="2DDBD4D0">
            <w:pPr>
              <w:keepNext w:val="0"/>
              <w:keepLines w:val="0"/>
              <w:pageBreakBefore w:val="0"/>
              <w:wordWrap/>
              <w:overflowPunct/>
              <w:topLinePunct w:val="0"/>
              <w:bidi w:val="0"/>
              <w:spacing w:line="560" w:lineRule="exact"/>
              <w:jc w:val="center"/>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预整理卷数</w:t>
            </w:r>
          </w:p>
        </w:tc>
        <w:tc>
          <w:tcPr>
            <w:tcW w:w="1742" w:type="dxa"/>
            <w:noWrap w:val="0"/>
            <w:vAlign w:val="center"/>
          </w:tcPr>
          <w:p w14:paraId="55901740">
            <w:pPr>
              <w:keepNext w:val="0"/>
              <w:keepLines w:val="0"/>
              <w:pageBreakBefore w:val="0"/>
              <w:wordWrap/>
              <w:overflowPunct/>
              <w:topLinePunct w:val="0"/>
              <w:bidi w:val="0"/>
              <w:spacing w:line="560" w:lineRule="exact"/>
              <w:jc w:val="center"/>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资料页数</w:t>
            </w:r>
          </w:p>
        </w:tc>
        <w:tc>
          <w:tcPr>
            <w:tcW w:w="1520" w:type="dxa"/>
            <w:noWrap w:val="0"/>
            <w:vAlign w:val="center"/>
          </w:tcPr>
          <w:p w14:paraId="13008974">
            <w:pPr>
              <w:keepNext w:val="0"/>
              <w:keepLines w:val="0"/>
              <w:pageBreakBefore w:val="0"/>
              <w:wordWrap/>
              <w:overflowPunct/>
              <w:topLinePunct w:val="0"/>
              <w:bidi w:val="0"/>
              <w:spacing w:line="560" w:lineRule="exact"/>
              <w:jc w:val="center"/>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备注</w:t>
            </w:r>
          </w:p>
        </w:tc>
      </w:tr>
      <w:tr w14:paraId="7A4FD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exact"/>
        </w:trPr>
        <w:tc>
          <w:tcPr>
            <w:tcW w:w="1158" w:type="dxa"/>
            <w:noWrap w:val="0"/>
            <w:vAlign w:val="center"/>
          </w:tcPr>
          <w:p w14:paraId="56CB108D">
            <w:pPr>
              <w:keepNext w:val="0"/>
              <w:keepLines w:val="0"/>
              <w:pageBreakBefore w:val="0"/>
              <w:wordWrap/>
              <w:overflowPunct/>
              <w:topLinePunct w:val="0"/>
              <w:bidi w:val="0"/>
              <w:spacing w:line="560" w:lineRule="exact"/>
              <w:jc w:val="center"/>
              <w:rPr>
                <w:rFonts w:ascii="宋体" w:hAnsi="宋体" w:eastAsia="方正仿宋_GBK" w:cs="方正仿宋_GBK"/>
                <w:color w:val="auto"/>
                <w:sz w:val="28"/>
                <w:szCs w:val="28"/>
                <w:highlight w:val="none"/>
              </w:rPr>
            </w:pPr>
          </w:p>
        </w:tc>
        <w:tc>
          <w:tcPr>
            <w:tcW w:w="2595" w:type="dxa"/>
            <w:noWrap w:val="0"/>
            <w:vAlign w:val="center"/>
          </w:tcPr>
          <w:p w14:paraId="4D6550CA">
            <w:pPr>
              <w:keepNext w:val="0"/>
              <w:keepLines w:val="0"/>
              <w:pageBreakBefore w:val="0"/>
              <w:wordWrap/>
              <w:overflowPunct/>
              <w:topLinePunct w:val="0"/>
              <w:bidi w:val="0"/>
              <w:spacing w:line="560" w:lineRule="exact"/>
              <w:jc w:val="center"/>
              <w:rPr>
                <w:rFonts w:ascii="宋体" w:hAnsi="宋体" w:eastAsia="方正仿宋_GBK" w:cs="方正仿宋_GBK"/>
                <w:color w:val="auto"/>
                <w:sz w:val="28"/>
                <w:szCs w:val="28"/>
                <w:highlight w:val="none"/>
              </w:rPr>
            </w:pPr>
          </w:p>
        </w:tc>
        <w:tc>
          <w:tcPr>
            <w:tcW w:w="2046" w:type="dxa"/>
            <w:gridSpan w:val="2"/>
            <w:noWrap w:val="0"/>
            <w:vAlign w:val="center"/>
          </w:tcPr>
          <w:p w14:paraId="2B4A2330">
            <w:pPr>
              <w:keepNext w:val="0"/>
              <w:keepLines w:val="0"/>
              <w:pageBreakBefore w:val="0"/>
              <w:wordWrap/>
              <w:overflowPunct/>
              <w:topLinePunct w:val="0"/>
              <w:bidi w:val="0"/>
              <w:spacing w:line="560" w:lineRule="exact"/>
              <w:jc w:val="center"/>
              <w:rPr>
                <w:rFonts w:ascii="宋体" w:hAnsi="宋体" w:eastAsia="方正仿宋_GBK" w:cs="方正仿宋_GBK"/>
                <w:color w:val="auto"/>
                <w:sz w:val="28"/>
                <w:szCs w:val="28"/>
                <w:highlight w:val="none"/>
              </w:rPr>
            </w:pPr>
          </w:p>
        </w:tc>
        <w:tc>
          <w:tcPr>
            <w:tcW w:w="1742" w:type="dxa"/>
            <w:noWrap w:val="0"/>
            <w:vAlign w:val="center"/>
          </w:tcPr>
          <w:p w14:paraId="1F2E044E">
            <w:pPr>
              <w:keepNext w:val="0"/>
              <w:keepLines w:val="0"/>
              <w:pageBreakBefore w:val="0"/>
              <w:wordWrap/>
              <w:overflowPunct/>
              <w:topLinePunct w:val="0"/>
              <w:bidi w:val="0"/>
              <w:spacing w:line="560" w:lineRule="exact"/>
              <w:jc w:val="center"/>
              <w:rPr>
                <w:rFonts w:ascii="宋体" w:hAnsi="宋体" w:eastAsia="方正仿宋_GBK" w:cs="方正仿宋_GBK"/>
                <w:color w:val="auto"/>
                <w:sz w:val="28"/>
                <w:szCs w:val="28"/>
                <w:highlight w:val="none"/>
              </w:rPr>
            </w:pPr>
          </w:p>
        </w:tc>
        <w:tc>
          <w:tcPr>
            <w:tcW w:w="1520" w:type="dxa"/>
            <w:noWrap w:val="0"/>
            <w:vAlign w:val="center"/>
          </w:tcPr>
          <w:p w14:paraId="2A61A346">
            <w:pPr>
              <w:keepNext w:val="0"/>
              <w:keepLines w:val="0"/>
              <w:pageBreakBefore w:val="0"/>
              <w:wordWrap/>
              <w:overflowPunct/>
              <w:topLinePunct w:val="0"/>
              <w:bidi w:val="0"/>
              <w:spacing w:line="560" w:lineRule="exact"/>
              <w:jc w:val="center"/>
              <w:rPr>
                <w:rFonts w:ascii="宋体" w:hAnsi="宋体" w:eastAsia="方正仿宋_GBK" w:cs="方正仿宋_GBK"/>
                <w:color w:val="auto"/>
                <w:sz w:val="28"/>
                <w:szCs w:val="28"/>
                <w:highlight w:val="none"/>
              </w:rPr>
            </w:pPr>
          </w:p>
        </w:tc>
      </w:tr>
      <w:tr w14:paraId="425A51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exact"/>
        </w:trPr>
        <w:tc>
          <w:tcPr>
            <w:tcW w:w="1158" w:type="dxa"/>
            <w:noWrap w:val="0"/>
            <w:vAlign w:val="center"/>
          </w:tcPr>
          <w:p w14:paraId="3DDB8D80">
            <w:pPr>
              <w:keepNext w:val="0"/>
              <w:keepLines w:val="0"/>
              <w:pageBreakBefore w:val="0"/>
              <w:wordWrap/>
              <w:overflowPunct/>
              <w:topLinePunct w:val="0"/>
              <w:bidi w:val="0"/>
              <w:spacing w:line="560" w:lineRule="exact"/>
              <w:jc w:val="center"/>
              <w:rPr>
                <w:rFonts w:ascii="宋体" w:hAnsi="宋体" w:eastAsia="方正仿宋_GBK" w:cs="方正仿宋_GBK"/>
                <w:color w:val="auto"/>
                <w:sz w:val="28"/>
                <w:szCs w:val="28"/>
                <w:highlight w:val="none"/>
              </w:rPr>
            </w:pPr>
          </w:p>
        </w:tc>
        <w:tc>
          <w:tcPr>
            <w:tcW w:w="2595" w:type="dxa"/>
            <w:noWrap w:val="0"/>
            <w:vAlign w:val="center"/>
          </w:tcPr>
          <w:p w14:paraId="241AE04D">
            <w:pPr>
              <w:keepNext w:val="0"/>
              <w:keepLines w:val="0"/>
              <w:pageBreakBefore w:val="0"/>
              <w:wordWrap/>
              <w:overflowPunct/>
              <w:topLinePunct w:val="0"/>
              <w:bidi w:val="0"/>
              <w:spacing w:line="560" w:lineRule="exact"/>
              <w:jc w:val="center"/>
              <w:rPr>
                <w:rFonts w:ascii="宋体" w:hAnsi="宋体" w:eastAsia="方正仿宋_GBK" w:cs="方正仿宋_GBK"/>
                <w:color w:val="auto"/>
                <w:sz w:val="28"/>
                <w:szCs w:val="28"/>
                <w:highlight w:val="none"/>
              </w:rPr>
            </w:pPr>
          </w:p>
        </w:tc>
        <w:tc>
          <w:tcPr>
            <w:tcW w:w="2046" w:type="dxa"/>
            <w:gridSpan w:val="2"/>
            <w:noWrap w:val="0"/>
            <w:vAlign w:val="center"/>
          </w:tcPr>
          <w:p w14:paraId="007BE8C9">
            <w:pPr>
              <w:keepNext w:val="0"/>
              <w:keepLines w:val="0"/>
              <w:pageBreakBefore w:val="0"/>
              <w:wordWrap/>
              <w:overflowPunct/>
              <w:topLinePunct w:val="0"/>
              <w:bidi w:val="0"/>
              <w:spacing w:line="560" w:lineRule="exact"/>
              <w:jc w:val="center"/>
              <w:rPr>
                <w:rFonts w:ascii="宋体" w:hAnsi="宋体" w:eastAsia="方正仿宋_GBK" w:cs="方正仿宋_GBK"/>
                <w:color w:val="auto"/>
                <w:sz w:val="28"/>
                <w:szCs w:val="28"/>
                <w:highlight w:val="none"/>
              </w:rPr>
            </w:pPr>
          </w:p>
        </w:tc>
        <w:tc>
          <w:tcPr>
            <w:tcW w:w="1742" w:type="dxa"/>
            <w:noWrap w:val="0"/>
            <w:vAlign w:val="center"/>
          </w:tcPr>
          <w:p w14:paraId="3CFAD683">
            <w:pPr>
              <w:keepNext w:val="0"/>
              <w:keepLines w:val="0"/>
              <w:pageBreakBefore w:val="0"/>
              <w:wordWrap/>
              <w:overflowPunct/>
              <w:topLinePunct w:val="0"/>
              <w:bidi w:val="0"/>
              <w:spacing w:line="560" w:lineRule="exact"/>
              <w:jc w:val="center"/>
              <w:rPr>
                <w:rFonts w:ascii="宋体" w:hAnsi="宋体" w:eastAsia="方正仿宋_GBK" w:cs="方正仿宋_GBK"/>
                <w:color w:val="auto"/>
                <w:sz w:val="28"/>
                <w:szCs w:val="28"/>
                <w:highlight w:val="none"/>
              </w:rPr>
            </w:pPr>
          </w:p>
        </w:tc>
        <w:tc>
          <w:tcPr>
            <w:tcW w:w="1520" w:type="dxa"/>
            <w:noWrap w:val="0"/>
            <w:vAlign w:val="center"/>
          </w:tcPr>
          <w:p w14:paraId="7BE7A21E">
            <w:pPr>
              <w:keepNext w:val="0"/>
              <w:keepLines w:val="0"/>
              <w:pageBreakBefore w:val="0"/>
              <w:wordWrap/>
              <w:overflowPunct/>
              <w:topLinePunct w:val="0"/>
              <w:bidi w:val="0"/>
              <w:spacing w:line="560" w:lineRule="exact"/>
              <w:jc w:val="center"/>
              <w:rPr>
                <w:rFonts w:ascii="宋体" w:hAnsi="宋体" w:eastAsia="方正仿宋_GBK" w:cs="方正仿宋_GBK"/>
                <w:color w:val="auto"/>
                <w:sz w:val="28"/>
                <w:szCs w:val="28"/>
                <w:highlight w:val="none"/>
              </w:rPr>
            </w:pPr>
          </w:p>
        </w:tc>
      </w:tr>
      <w:tr w14:paraId="6137E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exact"/>
        </w:trPr>
        <w:tc>
          <w:tcPr>
            <w:tcW w:w="1158" w:type="dxa"/>
            <w:noWrap w:val="0"/>
            <w:vAlign w:val="center"/>
          </w:tcPr>
          <w:p w14:paraId="5B902F17">
            <w:pPr>
              <w:keepNext w:val="0"/>
              <w:keepLines w:val="0"/>
              <w:pageBreakBefore w:val="0"/>
              <w:wordWrap/>
              <w:overflowPunct/>
              <w:topLinePunct w:val="0"/>
              <w:bidi w:val="0"/>
              <w:spacing w:line="560" w:lineRule="exact"/>
              <w:jc w:val="center"/>
              <w:rPr>
                <w:rFonts w:ascii="宋体" w:hAnsi="宋体" w:eastAsia="方正仿宋_GBK" w:cs="方正仿宋_GBK"/>
                <w:color w:val="auto"/>
                <w:sz w:val="28"/>
                <w:szCs w:val="28"/>
                <w:highlight w:val="none"/>
              </w:rPr>
            </w:pPr>
          </w:p>
        </w:tc>
        <w:tc>
          <w:tcPr>
            <w:tcW w:w="2595" w:type="dxa"/>
            <w:noWrap w:val="0"/>
            <w:vAlign w:val="center"/>
          </w:tcPr>
          <w:p w14:paraId="55F7F3FA">
            <w:pPr>
              <w:keepNext w:val="0"/>
              <w:keepLines w:val="0"/>
              <w:pageBreakBefore w:val="0"/>
              <w:wordWrap/>
              <w:overflowPunct/>
              <w:topLinePunct w:val="0"/>
              <w:bidi w:val="0"/>
              <w:spacing w:line="560" w:lineRule="exact"/>
              <w:jc w:val="center"/>
              <w:rPr>
                <w:rFonts w:ascii="宋体" w:hAnsi="宋体" w:eastAsia="方正仿宋_GBK" w:cs="方正仿宋_GBK"/>
                <w:color w:val="auto"/>
                <w:sz w:val="28"/>
                <w:szCs w:val="28"/>
                <w:highlight w:val="none"/>
              </w:rPr>
            </w:pPr>
          </w:p>
        </w:tc>
        <w:tc>
          <w:tcPr>
            <w:tcW w:w="2046" w:type="dxa"/>
            <w:gridSpan w:val="2"/>
            <w:noWrap w:val="0"/>
            <w:vAlign w:val="center"/>
          </w:tcPr>
          <w:p w14:paraId="7C7F8B7D">
            <w:pPr>
              <w:keepNext w:val="0"/>
              <w:keepLines w:val="0"/>
              <w:pageBreakBefore w:val="0"/>
              <w:wordWrap/>
              <w:overflowPunct/>
              <w:topLinePunct w:val="0"/>
              <w:bidi w:val="0"/>
              <w:spacing w:line="560" w:lineRule="exact"/>
              <w:jc w:val="center"/>
              <w:rPr>
                <w:rFonts w:ascii="宋体" w:hAnsi="宋体" w:eastAsia="方正仿宋_GBK" w:cs="方正仿宋_GBK"/>
                <w:color w:val="auto"/>
                <w:sz w:val="28"/>
                <w:szCs w:val="28"/>
                <w:highlight w:val="none"/>
              </w:rPr>
            </w:pPr>
          </w:p>
        </w:tc>
        <w:tc>
          <w:tcPr>
            <w:tcW w:w="1742" w:type="dxa"/>
            <w:noWrap w:val="0"/>
            <w:vAlign w:val="center"/>
          </w:tcPr>
          <w:p w14:paraId="2E0AB06A">
            <w:pPr>
              <w:keepNext w:val="0"/>
              <w:keepLines w:val="0"/>
              <w:pageBreakBefore w:val="0"/>
              <w:wordWrap/>
              <w:overflowPunct/>
              <w:topLinePunct w:val="0"/>
              <w:bidi w:val="0"/>
              <w:spacing w:line="560" w:lineRule="exact"/>
              <w:jc w:val="center"/>
              <w:rPr>
                <w:rFonts w:ascii="宋体" w:hAnsi="宋体" w:eastAsia="方正仿宋_GBK" w:cs="方正仿宋_GBK"/>
                <w:color w:val="auto"/>
                <w:sz w:val="28"/>
                <w:szCs w:val="28"/>
                <w:highlight w:val="none"/>
              </w:rPr>
            </w:pPr>
          </w:p>
        </w:tc>
        <w:tc>
          <w:tcPr>
            <w:tcW w:w="1520" w:type="dxa"/>
            <w:noWrap w:val="0"/>
            <w:vAlign w:val="center"/>
          </w:tcPr>
          <w:p w14:paraId="4756D2DC">
            <w:pPr>
              <w:keepNext w:val="0"/>
              <w:keepLines w:val="0"/>
              <w:pageBreakBefore w:val="0"/>
              <w:wordWrap/>
              <w:overflowPunct/>
              <w:topLinePunct w:val="0"/>
              <w:bidi w:val="0"/>
              <w:spacing w:line="560" w:lineRule="exact"/>
              <w:jc w:val="center"/>
              <w:rPr>
                <w:rFonts w:ascii="宋体" w:hAnsi="宋体" w:eastAsia="方正仿宋_GBK" w:cs="方正仿宋_GBK"/>
                <w:color w:val="auto"/>
                <w:sz w:val="28"/>
                <w:szCs w:val="28"/>
                <w:highlight w:val="none"/>
              </w:rPr>
            </w:pPr>
          </w:p>
        </w:tc>
      </w:tr>
      <w:tr w14:paraId="01FF8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exact"/>
        </w:trPr>
        <w:tc>
          <w:tcPr>
            <w:tcW w:w="3753" w:type="dxa"/>
            <w:gridSpan w:val="2"/>
            <w:noWrap w:val="0"/>
            <w:vAlign w:val="center"/>
          </w:tcPr>
          <w:p w14:paraId="14D9EED1">
            <w:pPr>
              <w:keepNext w:val="0"/>
              <w:keepLines w:val="0"/>
              <w:pageBreakBefore w:val="0"/>
              <w:wordWrap/>
              <w:overflowPunct/>
              <w:topLinePunct w:val="0"/>
              <w:bidi w:val="0"/>
              <w:spacing w:line="560" w:lineRule="exact"/>
              <w:jc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合计</w:t>
            </w:r>
          </w:p>
        </w:tc>
        <w:tc>
          <w:tcPr>
            <w:tcW w:w="2046" w:type="dxa"/>
            <w:gridSpan w:val="2"/>
            <w:noWrap w:val="0"/>
            <w:vAlign w:val="center"/>
          </w:tcPr>
          <w:p w14:paraId="509BD57D">
            <w:pPr>
              <w:keepNext w:val="0"/>
              <w:keepLines w:val="0"/>
              <w:pageBreakBefore w:val="0"/>
              <w:wordWrap/>
              <w:overflowPunct/>
              <w:topLinePunct w:val="0"/>
              <w:bidi w:val="0"/>
              <w:spacing w:line="560" w:lineRule="exact"/>
              <w:jc w:val="center"/>
              <w:rPr>
                <w:rFonts w:hint="eastAsia" w:ascii="仿宋_GB2312" w:hAnsi="仿宋_GB2312" w:eastAsia="仿宋_GB2312" w:cs="仿宋_GB2312"/>
                <w:color w:val="auto"/>
                <w:sz w:val="28"/>
                <w:szCs w:val="28"/>
                <w:highlight w:val="none"/>
              </w:rPr>
            </w:pPr>
          </w:p>
        </w:tc>
        <w:tc>
          <w:tcPr>
            <w:tcW w:w="1742" w:type="dxa"/>
            <w:noWrap w:val="0"/>
            <w:vAlign w:val="center"/>
          </w:tcPr>
          <w:p w14:paraId="38319D41">
            <w:pPr>
              <w:keepNext w:val="0"/>
              <w:keepLines w:val="0"/>
              <w:pageBreakBefore w:val="0"/>
              <w:wordWrap/>
              <w:overflowPunct/>
              <w:topLinePunct w:val="0"/>
              <w:bidi w:val="0"/>
              <w:spacing w:line="560" w:lineRule="exact"/>
              <w:jc w:val="center"/>
              <w:rPr>
                <w:rFonts w:hint="eastAsia" w:ascii="仿宋_GB2312" w:hAnsi="仿宋_GB2312" w:eastAsia="仿宋_GB2312" w:cs="仿宋_GB2312"/>
                <w:color w:val="auto"/>
                <w:sz w:val="28"/>
                <w:szCs w:val="28"/>
                <w:highlight w:val="none"/>
              </w:rPr>
            </w:pPr>
          </w:p>
        </w:tc>
        <w:tc>
          <w:tcPr>
            <w:tcW w:w="1520" w:type="dxa"/>
            <w:noWrap w:val="0"/>
            <w:vAlign w:val="center"/>
          </w:tcPr>
          <w:p w14:paraId="5F3B33F4">
            <w:pPr>
              <w:keepNext w:val="0"/>
              <w:keepLines w:val="0"/>
              <w:pageBreakBefore w:val="0"/>
              <w:wordWrap/>
              <w:overflowPunct/>
              <w:topLinePunct w:val="0"/>
              <w:bidi w:val="0"/>
              <w:spacing w:line="560" w:lineRule="exact"/>
              <w:jc w:val="center"/>
              <w:rPr>
                <w:rFonts w:hint="eastAsia" w:ascii="仿宋_GB2312" w:hAnsi="仿宋_GB2312" w:eastAsia="仿宋_GB2312" w:cs="仿宋_GB2312"/>
                <w:color w:val="auto"/>
                <w:sz w:val="28"/>
                <w:szCs w:val="28"/>
                <w:highlight w:val="none"/>
              </w:rPr>
            </w:pPr>
          </w:p>
        </w:tc>
      </w:tr>
      <w:tr w14:paraId="0EF31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exact"/>
        </w:trPr>
        <w:tc>
          <w:tcPr>
            <w:tcW w:w="4530" w:type="dxa"/>
            <w:gridSpan w:val="3"/>
            <w:noWrap w:val="0"/>
            <w:vAlign w:val="center"/>
          </w:tcPr>
          <w:p w14:paraId="7CF1353A">
            <w:pPr>
              <w:keepNext w:val="0"/>
              <w:keepLines w:val="0"/>
              <w:pageBreakBefore w:val="0"/>
              <w:wordWrap/>
              <w:overflowPunct/>
              <w:topLinePunct w:val="0"/>
              <w:bidi w:val="0"/>
              <w:spacing w:line="560" w:lineRule="exact"/>
              <w:jc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移交部门     </w:t>
            </w:r>
          </w:p>
        </w:tc>
        <w:tc>
          <w:tcPr>
            <w:tcW w:w="4531" w:type="dxa"/>
            <w:gridSpan w:val="3"/>
            <w:noWrap w:val="0"/>
            <w:vAlign w:val="center"/>
          </w:tcPr>
          <w:p w14:paraId="38E4453A">
            <w:pPr>
              <w:keepNext w:val="0"/>
              <w:keepLines w:val="0"/>
              <w:pageBreakBefore w:val="0"/>
              <w:wordWrap/>
              <w:overflowPunct/>
              <w:topLinePunct w:val="0"/>
              <w:bidi w:val="0"/>
              <w:spacing w:line="560" w:lineRule="exact"/>
              <w:jc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接收部门</w:t>
            </w:r>
          </w:p>
        </w:tc>
      </w:tr>
      <w:tr w14:paraId="5C48D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exact"/>
        </w:trPr>
        <w:tc>
          <w:tcPr>
            <w:tcW w:w="4530" w:type="dxa"/>
            <w:gridSpan w:val="3"/>
            <w:noWrap w:val="0"/>
            <w:vAlign w:val="center"/>
          </w:tcPr>
          <w:p w14:paraId="169AA641">
            <w:pPr>
              <w:keepNext w:val="0"/>
              <w:keepLines w:val="0"/>
              <w:pageBreakBefore w:val="0"/>
              <w:wordWrap/>
              <w:overflowPunct/>
              <w:topLinePunct w:val="0"/>
              <w:bidi w:val="0"/>
              <w:spacing w:line="560" w:lineRule="exact"/>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经办人：                    </w:t>
            </w:r>
          </w:p>
        </w:tc>
        <w:tc>
          <w:tcPr>
            <w:tcW w:w="4531" w:type="dxa"/>
            <w:gridSpan w:val="3"/>
            <w:noWrap w:val="0"/>
            <w:vAlign w:val="center"/>
          </w:tcPr>
          <w:p w14:paraId="66CC66F2">
            <w:pPr>
              <w:keepNext w:val="0"/>
              <w:keepLines w:val="0"/>
              <w:pageBreakBefore w:val="0"/>
              <w:wordWrap/>
              <w:overflowPunct/>
              <w:topLinePunct w:val="0"/>
              <w:bidi w:val="0"/>
              <w:spacing w:line="560" w:lineRule="exact"/>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经办人：</w:t>
            </w:r>
          </w:p>
        </w:tc>
      </w:tr>
      <w:tr w14:paraId="6CF4A6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exact"/>
        </w:trPr>
        <w:tc>
          <w:tcPr>
            <w:tcW w:w="4530" w:type="dxa"/>
            <w:gridSpan w:val="3"/>
            <w:noWrap w:val="0"/>
            <w:vAlign w:val="center"/>
          </w:tcPr>
          <w:p w14:paraId="071BD8A8">
            <w:pPr>
              <w:keepNext w:val="0"/>
              <w:keepLines w:val="0"/>
              <w:pageBreakBefore w:val="0"/>
              <w:wordWrap/>
              <w:overflowPunct/>
              <w:topLinePunct w:val="0"/>
              <w:bidi w:val="0"/>
              <w:spacing w:line="560" w:lineRule="exact"/>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复核人：</w:t>
            </w:r>
          </w:p>
        </w:tc>
        <w:tc>
          <w:tcPr>
            <w:tcW w:w="4531" w:type="dxa"/>
            <w:gridSpan w:val="3"/>
            <w:noWrap w:val="0"/>
            <w:vAlign w:val="center"/>
          </w:tcPr>
          <w:p w14:paraId="5CC822D0">
            <w:pPr>
              <w:keepNext w:val="0"/>
              <w:keepLines w:val="0"/>
              <w:pageBreakBefore w:val="0"/>
              <w:wordWrap/>
              <w:overflowPunct/>
              <w:topLinePunct w:val="0"/>
              <w:bidi w:val="0"/>
              <w:spacing w:line="560" w:lineRule="exact"/>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复核人：</w:t>
            </w:r>
          </w:p>
        </w:tc>
      </w:tr>
      <w:tr w14:paraId="42964B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exact"/>
        </w:trPr>
        <w:tc>
          <w:tcPr>
            <w:tcW w:w="4530" w:type="dxa"/>
            <w:gridSpan w:val="3"/>
            <w:noWrap w:val="0"/>
            <w:vAlign w:val="center"/>
          </w:tcPr>
          <w:p w14:paraId="6918387E">
            <w:pPr>
              <w:keepNext w:val="0"/>
              <w:keepLines w:val="0"/>
              <w:pageBreakBefore w:val="0"/>
              <w:wordWrap/>
              <w:overflowPunct/>
              <w:topLinePunct w:val="0"/>
              <w:bidi w:val="0"/>
              <w:spacing w:line="560" w:lineRule="exact"/>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部门（章）:                  </w:t>
            </w:r>
          </w:p>
        </w:tc>
        <w:tc>
          <w:tcPr>
            <w:tcW w:w="4531" w:type="dxa"/>
            <w:gridSpan w:val="3"/>
            <w:noWrap w:val="0"/>
            <w:vAlign w:val="center"/>
          </w:tcPr>
          <w:p w14:paraId="02452355">
            <w:pPr>
              <w:keepNext w:val="0"/>
              <w:keepLines w:val="0"/>
              <w:pageBreakBefore w:val="0"/>
              <w:wordWrap/>
              <w:overflowPunct/>
              <w:topLinePunct w:val="0"/>
              <w:bidi w:val="0"/>
              <w:spacing w:line="560" w:lineRule="exact"/>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部门（章）:</w:t>
            </w:r>
          </w:p>
        </w:tc>
      </w:tr>
      <w:tr w14:paraId="37A8B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exact"/>
        </w:trPr>
        <w:tc>
          <w:tcPr>
            <w:tcW w:w="4530" w:type="dxa"/>
            <w:gridSpan w:val="3"/>
            <w:noWrap w:val="0"/>
            <w:vAlign w:val="center"/>
          </w:tcPr>
          <w:p w14:paraId="613BB2CF">
            <w:pPr>
              <w:keepNext w:val="0"/>
              <w:keepLines w:val="0"/>
              <w:pageBreakBefore w:val="0"/>
              <w:wordWrap/>
              <w:overflowPunct/>
              <w:topLinePunct w:val="0"/>
              <w:bidi w:val="0"/>
              <w:spacing w:line="560" w:lineRule="exact"/>
              <w:jc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               年   月   日</w:t>
            </w:r>
          </w:p>
        </w:tc>
        <w:tc>
          <w:tcPr>
            <w:tcW w:w="4531" w:type="dxa"/>
            <w:gridSpan w:val="3"/>
            <w:noWrap w:val="0"/>
            <w:vAlign w:val="center"/>
          </w:tcPr>
          <w:p w14:paraId="5ED234A7">
            <w:pPr>
              <w:keepNext w:val="0"/>
              <w:keepLines w:val="0"/>
              <w:pageBreakBefore w:val="0"/>
              <w:wordWrap/>
              <w:overflowPunct/>
              <w:topLinePunct w:val="0"/>
              <w:bidi w:val="0"/>
              <w:spacing w:line="560" w:lineRule="exact"/>
              <w:jc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               年   月   日</w:t>
            </w:r>
          </w:p>
        </w:tc>
      </w:tr>
    </w:tbl>
    <w:p w14:paraId="5396FFB6">
      <w:pPr>
        <w:keepNext w:val="0"/>
        <w:keepLines w:val="0"/>
        <w:pageBreakBefore w:val="0"/>
        <w:wordWrap/>
        <w:overflowPunct/>
        <w:topLinePunct w:val="0"/>
        <w:bidi w:val="0"/>
        <w:spacing w:line="560" w:lineRule="exact"/>
        <w:rPr>
          <w:rFonts w:ascii="宋体" w:hAnsi="宋体" w:eastAsia="方正仿宋_GBK" w:cs="方正仿宋_GBK"/>
          <w:color w:val="auto"/>
          <w:sz w:val="32"/>
          <w:szCs w:val="32"/>
          <w:highlight w:val="none"/>
        </w:rPr>
      </w:pPr>
    </w:p>
    <w:p w14:paraId="64EB089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color w:val="auto"/>
          <w:sz w:val="32"/>
          <w:szCs w:val="32"/>
          <w:highlight w:val="none"/>
          <w:lang w:val="en-US" w:eastAsia="zh-CN"/>
        </w:rPr>
      </w:pPr>
      <w:r>
        <w:rPr>
          <w:rFonts w:hint="eastAsia" w:ascii="宋体" w:hAnsi="宋体" w:eastAsia="方正仿宋_GBK" w:cs="方正仿宋_GBK"/>
          <w:color w:val="auto"/>
          <w:sz w:val="32"/>
          <w:szCs w:val="32"/>
          <w:highlight w:val="none"/>
        </w:rPr>
        <w:br w:type="page"/>
      </w:r>
      <w:r>
        <w:rPr>
          <w:rFonts w:hint="eastAsia" w:ascii="黑体" w:hAnsi="黑体" w:eastAsia="黑体" w:cs="黑体"/>
          <w:color w:val="auto"/>
          <w:sz w:val="32"/>
          <w:szCs w:val="32"/>
          <w:highlight w:val="none"/>
        </w:rPr>
        <w:t>附件</w:t>
      </w:r>
      <w:r>
        <w:rPr>
          <w:rFonts w:hint="eastAsia" w:ascii="黑体" w:hAnsi="黑体" w:eastAsia="黑体" w:cs="黑体"/>
          <w:color w:val="auto"/>
          <w:sz w:val="32"/>
          <w:szCs w:val="32"/>
          <w:highlight w:val="none"/>
          <w:lang w:val="en-US" w:eastAsia="zh-CN"/>
        </w:rPr>
        <w:t>5</w:t>
      </w:r>
    </w:p>
    <w:p w14:paraId="373AF5B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color w:val="auto"/>
          <w:sz w:val="32"/>
          <w:szCs w:val="32"/>
          <w:highlight w:val="none"/>
          <w:lang w:val="en-US" w:eastAsia="zh-CN"/>
        </w:rPr>
      </w:pPr>
    </w:p>
    <w:p w14:paraId="0FB24FB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方正小标宋简体" w:cs="方正小标宋简体"/>
          <w:color w:val="auto"/>
          <w:sz w:val="44"/>
          <w:szCs w:val="44"/>
          <w:highlight w:val="none"/>
        </w:rPr>
      </w:pPr>
      <w:r>
        <w:rPr>
          <w:rFonts w:hint="eastAsia" w:ascii="宋体" w:hAnsi="宋体" w:eastAsia="方正小标宋简体" w:cs="方正小标宋简体"/>
          <w:color w:val="auto"/>
          <w:sz w:val="44"/>
          <w:szCs w:val="44"/>
          <w:highlight w:val="none"/>
        </w:rPr>
        <w:t>合作银行经办社保业务考核指导清单</w:t>
      </w:r>
    </w:p>
    <w:p w14:paraId="0A48EA6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方正小标宋简体" w:cs="方正小标宋简体"/>
          <w:color w:val="auto"/>
          <w:sz w:val="44"/>
          <w:szCs w:val="44"/>
          <w:highlight w:val="none"/>
        </w:rPr>
      </w:pPr>
    </w:p>
    <w:tbl>
      <w:tblPr>
        <w:tblStyle w:val="7"/>
        <w:tblW w:w="9057" w:type="dxa"/>
        <w:jc w:val="center"/>
        <w:tblLayout w:type="fixed"/>
        <w:tblCellMar>
          <w:top w:w="0" w:type="dxa"/>
          <w:left w:w="108" w:type="dxa"/>
          <w:bottom w:w="0" w:type="dxa"/>
          <w:right w:w="108" w:type="dxa"/>
        </w:tblCellMar>
      </w:tblPr>
      <w:tblGrid>
        <w:gridCol w:w="813"/>
        <w:gridCol w:w="1664"/>
        <w:gridCol w:w="5313"/>
        <w:gridCol w:w="1267"/>
      </w:tblGrid>
      <w:tr w14:paraId="00D049E9">
        <w:tblPrEx>
          <w:tblCellMar>
            <w:top w:w="0" w:type="dxa"/>
            <w:left w:w="108" w:type="dxa"/>
            <w:bottom w:w="0" w:type="dxa"/>
            <w:right w:w="108" w:type="dxa"/>
          </w:tblCellMar>
        </w:tblPrEx>
        <w:trPr>
          <w:trHeight w:val="508" w:hRule="atLeast"/>
          <w:tblHeader/>
          <w:jc w:val="center"/>
        </w:trPr>
        <w:tc>
          <w:tcPr>
            <w:tcW w:w="813" w:type="dxa"/>
            <w:tcBorders>
              <w:top w:val="single" w:color="000000" w:sz="4" w:space="0"/>
              <w:left w:val="single" w:color="000000" w:sz="4" w:space="0"/>
              <w:bottom w:val="single" w:color="000000" w:sz="4" w:space="0"/>
              <w:right w:val="single" w:color="000000" w:sz="4" w:space="0"/>
            </w:tcBorders>
            <w:noWrap w:val="0"/>
            <w:vAlign w:val="center"/>
          </w:tcPr>
          <w:p w14:paraId="08AFC99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序号</w:t>
            </w:r>
          </w:p>
        </w:tc>
        <w:tc>
          <w:tcPr>
            <w:tcW w:w="1664" w:type="dxa"/>
            <w:tcBorders>
              <w:top w:val="single" w:color="000000" w:sz="4" w:space="0"/>
              <w:left w:val="single" w:color="000000" w:sz="4" w:space="0"/>
              <w:bottom w:val="single" w:color="000000" w:sz="4" w:space="0"/>
              <w:right w:val="single" w:color="000000" w:sz="4" w:space="0"/>
            </w:tcBorders>
            <w:noWrap w:val="0"/>
            <w:vAlign w:val="center"/>
          </w:tcPr>
          <w:p w14:paraId="1EAFDB4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条件</w:t>
            </w:r>
          </w:p>
        </w:tc>
        <w:tc>
          <w:tcPr>
            <w:tcW w:w="5313" w:type="dxa"/>
            <w:tcBorders>
              <w:top w:val="single" w:color="000000" w:sz="4" w:space="0"/>
              <w:left w:val="single" w:color="000000" w:sz="4" w:space="0"/>
              <w:bottom w:val="single" w:color="000000" w:sz="4" w:space="0"/>
              <w:right w:val="single" w:color="000000" w:sz="4" w:space="0"/>
            </w:tcBorders>
            <w:noWrap w:val="0"/>
            <w:vAlign w:val="center"/>
          </w:tcPr>
          <w:p w14:paraId="126F202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具体要求</w:t>
            </w: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55D091B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实施</w:t>
            </w:r>
          </w:p>
          <w:p w14:paraId="220053D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情况</w:t>
            </w:r>
          </w:p>
        </w:tc>
      </w:tr>
      <w:tr w14:paraId="4C0C8C0F">
        <w:tblPrEx>
          <w:tblCellMar>
            <w:top w:w="0" w:type="dxa"/>
            <w:left w:w="108" w:type="dxa"/>
            <w:bottom w:w="0" w:type="dxa"/>
            <w:right w:w="108" w:type="dxa"/>
          </w:tblCellMar>
        </w:tblPrEx>
        <w:trPr>
          <w:trHeight w:val="1133" w:hRule="atLeast"/>
          <w:jc w:val="center"/>
        </w:trPr>
        <w:tc>
          <w:tcPr>
            <w:tcW w:w="813" w:type="dxa"/>
            <w:tcBorders>
              <w:top w:val="single" w:color="000000" w:sz="4" w:space="0"/>
              <w:left w:val="single" w:color="000000" w:sz="4" w:space="0"/>
              <w:bottom w:val="single" w:color="000000" w:sz="4" w:space="0"/>
              <w:right w:val="single" w:color="000000" w:sz="4" w:space="0"/>
            </w:tcBorders>
            <w:noWrap w:val="0"/>
            <w:vAlign w:val="center"/>
          </w:tcPr>
          <w:p w14:paraId="7BF94679">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1</w:t>
            </w:r>
          </w:p>
        </w:tc>
        <w:tc>
          <w:tcPr>
            <w:tcW w:w="1664" w:type="dxa"/>
            <w:vMerge w:val="restart"/>
            <w:tcBorders>
              <w:top w:val="single" w:color="000000" w:sz="4" w:space="0"/>
              <w:left w:val="single" w:color="000000" w:sz="4" w:space="0"/>
              <w:bottom w:val="single" w:color="000000" w:sz="4" w:space="0"/>
              <w:right w:val="single" w:color="000000" w:sz="4" w:space="0"/>
            </w:tcBorders>
            <w:noWrap w:val="0"/>
            <w:vAlign w:val="center"/>
          </w:tcPr>
          <w:p w14:paraId="08C25151">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基本条件</w:t>
            </w:r>
          </w:p>
        </w:tc>
        <w:tc>
          <w:tcPr>
            <w:tcW w:w="5313" w:type="dxa"/>
            <w:tcBorders>
              <w:top w:val="single" w:color="000000" w:sz="4" w:space="0"/>
              <w:left w:val="single" w:color="000000" w:sz="4" w:space="0"/>
              <w:bottom w:val="single" w:color="000000" w:sz="4" w:space="0"/>
              <w:right w:val="single" w:color="000000" w:sz="4" w:space="0"/>
            </w:tcBorders>
            <w:noWrap w:val="0"/>
            <w:vAlign w:val="center"/>
          </w:tcPr>
          <w:p w14:paraId="068B9C21">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合作银行是否具有面向社会提供金融服务的营业场所，具有规范的行业服务管理能力和健全的管理制度</w:t>
            </w: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18941F9C">
            <w:pPr>
              <w:keepNext w:val="0"/>
              <w:keepLines w:val="0"/>
              <w:pageBreakBefore w:val="0"/>
              <w:wordWrap/>
              <w:overflowPunct/>
              <w:topLinePunct w:val="0"/>
              <w:bidi w:val="0"/>
              <w:spacing w:line="560" w:lineRule="exact"/>
              <w:rPr>
                <w:rFonts w:hint="eastAsia" w:ascii="宋体" w:hAnsi="宋体" w:eastAsia="仿宋_GB2312" w:cs="仿宋_GB2312"/>
                <w:color w:val="auto"/>
                <w:sz w:val="24"/>
                <w:szCs w:val="24"/>
                <w:highlight w:val="none"/>
              </w:rPr>
            </w:pPr>
          </w:p>
        </w:tc>
      </w:tr>
      <w:tr w14:paraId="6E2848A0">
        <w:tblPrEx>
          <w:tblCellMar>
            <w:top w:w="0" w:type="dxa"/>
            <w:left w:w="108" w:type="dxa"/>
            <w:bottom w:w="0" w:type="dxa"/>
            <w:right w:w="108" w:type="dxa"/>
          </w:tblCellMar>
        </w:tblPrEx>
        <w:trPr>
          <w:trHeight w:val="90" w:hRule="atLeast"/>
          <w:jc w:val="center"/>
        </w:trPr>
        <w:tc>
          <w:tcPr>
            <w:tcW w:w="813" w:type="dxa"/>
            <w:tcBorders>
              <w:top w:val="single" w:color="000000" w:sz="4" w:space="0"/>
              <w:left w:val="single" w:color="000000" w:sz="4" w:space="0"/>
              <w:bottom w:val="single" w:color="000000" w:sz="4" w:space="0"/>
              <w:right w:val="single" w:color="000000" w:sz="4" w:space="0"/>
            </w:tcBorders>
            <w:noWrap w:val="0"/>
            <w:vAlign w:val="center"/>
          </w:tcPr>
          <w:p w14:paraId="0E1F829E">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2</w:t>
            </w:r>
          </w:p>
        </w:tc>
        <w:tc>
          <w:tcPr>
            <w:tcW w:w="1664" w:type="dxa"/>
            <w:vMerge w:val="continue"/>
            <w:tcBorders>
              <w:top w:val="single" w:color="000000" w:sz="4" w:space="0"/>
              <w:left w:val="single" w:color="000000" w:sz="4" w:space="0"/>
              <w:bottom w:val="single" w:color="000000" w:sz="4" w:space="0"/>
              <w:right w:val="single" w:color="000000" w:sz="4" w:space="0"/>
            </w:tcBorders>
            <w:noWrap w:val="0"/>
            <w:vAlign w:val="center"/>
          </w:tcPr>
          <w:p w14:paraId="1A0E6659">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p>
        </w:tc>
        <w:tc>
          <w:tcPr>
            <w:tcW w:w="5313" w:type="dxa"/>
            <w:tcBorders>
              <w:top w:val="single" w:color="000000" w:sz="4" w:space="0"/>
              <w:left w:val="single" w:color="000000" w:sz="4" w:space="0"/>
              <w:bottom w:val="single" w:color="000000" w:sz="4" w:space="0"/>
              <w:right w:val="single" w:color="000000" w:sz="4" w:space="0"/>
            </w:tcBorders>
            <w:noWrap w:val="0"/>
            <w:vAlign w:val="center"/>
          </w:tcPr>
          <w:p w14:paraId="343672D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合作银行是否具有群众基础良好，服务优质规范，人员素质较高，具备延伸到乡镇（街道）、村（社区）营业网点、社会保障卡服务网点和金融便民服务点优势</w:t>
            </w: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0AFEC2A3">
            <w:pPr>
              <w:keepNext w:val="0"/>
              <w:keepLines w:val="0"/>
              <w:pageBreakBefore w:val="0"/>
              <w:wordWrap/>
              <w:overflowPunct/>
              <w:topLinePunct w:val="0"/>
              <w:bidi w:val="0"/>
              <w:spacing w:line="560" w:lineRule="exact"/>
              <w:rPr>
                <w:rFonts w:hint="eastAsia" w:ascii="宋体" w:hAnsi="宋体" w:eastAsia="仿宋_GB2312" w:cs="仿宋_GB2312"/>
                <w:color w:val="auto"/>
                <w:sz w:val="24"/>
                <w:szCs w:val="24"/>
                <w:highlight w:val="none"/>
              </w:rPr>
            </w:pPr>
          </w:p>
        </w:tc>
      </w:tr>
      <w:tr w14:paraId="605649DC">
        <w:tblPrEx>
          <w:tblCellMar>
            <w:top w:w="0" w:type="dxa"/>
            <w:left w:w="108" w:type="dxa"/>
            <w:bottom w:w="0" w:type="dxa"/>
            <w:right w:w="108" w:type="dxa"/>
          </w:tblCellMar>
        </w:tblPrEx>
        <w:trPr>
          <w:trHeight w:val="750" w:hRule="atLeast"/>
          <w:jc w:val="center"/>
        </w:trPr>
        <w:tc>
          <w:tcPr>
            <w:tcW w:w="813" w:type="dxa"/>
            <w:tcBorders>
              <w:top w:val="single" w:color="000000" w:sz="4" w:space="0"/>
              <w:left w:val="single" w:color="000000" w:sz="4" w:space="0"/>
              <w:bottom w:val="single" w:color="000000" w:sz="4" w:space="0"/>
              <w:right w:val="single" w:color="000000" w:sz="4" w:space="0"/>
            </w:tcBorders>
            <w:noWrap w:val="0"/>
            <w:vAlign w:val="center"/>
          </w:tcPr>
          <w:p w14:paraId="38D58A76">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3</w:t>
            </w:r>
          </w:p>
        </w:tc>
        <w:tc>
          <w:tcPr>
            <w:tcW w:w="1664" w:type="dxa"/>
            <w:vMerge w:val="restart"/>
            <w:tcBorders>
              <w:top w:val="single" w:color="000000" w:sz="4" w:space="0"/>
              <w:left w:val="single" w:color="000000" w:sz="4" w:space="0"/>
              <w:bottom w:val="single" w:color="000000" w:sz="4" w:space="0"/>
              <w:right w:val="single" w:color="000000" w:sz="4" w:space="0"/>
            </w:tcBorders>
            <w:noWrap w:val="0"/>
            <w:vAlign w:val="center"/>
          </w:tcPr>
          <w:p w14:paraId="5E807A80">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场地设置</w:t>
            </w:r>
          </w:p>
        </w:tc>
        <w:tc>
          <w:tcPr>
            <w:tcW w:w="5313" w:type="dxa"/>
            <w:tcBorders>
              <w:top w:val="single" w:color="000000" w:sz="4" w:space="0"/>
              <w:left w:val="single" w:color="000000" w:sz="4" w:space="0"/>
              <w:bottom w:val="single" w:color="000000" w:sz="4" w:space="0"/>
              <w:right w:val="single" w:color="000000" w:sz="4" w:space="0"/>
            </w:tcBorders>
            <w:noWrap w:val="0"/>
            <w:vAlign w:val="center"/>
          </w:tcPr>
          <w:p w14:paraId="1875D627">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是否具备设置经办社保业务等候区、受理区的条件</w:t>
            </w: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40047CC1">
            <w:pPr>
              <w:keepNext w:val="0"/>
              <w:keepLines w:val="0"/>
              <w:pageBreakBefore w:val="0"/>
              <w:wordWrap/>
              <w:overflowPunct/>
              <w:topLinePunct w:val="0"/>
              <w:bidi w:val="0"/>
              <w:spacing w:line="560" w:lineRule="exact"/>
              <w:rPr>
                <w:rFonts w:hint="eastAsia" w:ascii="宋体" w:hAnsi="宋体" w:eastAsia="仿宋_GB2312" w:cs="仿宋_GB2312"/>
                <w:color w:val="auto"/>
                <w:sz w:val="24"/>
                <w:szCs w:val="24"/>
                <w:highlight w:val="none"/>
              </w:rPr>
            </w:pPr>
          </w:p>
        </w:tc>
      </w:tr>
      <w:tr w14:paraId="2C77541A">
        <w:tblPrEx>
          <w:tblCellMar>
            <w:top w:w="0" w:type="dxa"/>
            <w:left w:w="108" w:type="dxa"/>
            <w:bottom w:w="0" w:type="dxa"/>
            <w:right w:w="108" w:type="dxa"/>
          </w:tblCellMar>
        </w:tblPrEx>
        <w:trPr>
          <w:trHeight w:val="970" w:hRule="atLeast"/>
          <w:jc w:val="center"/>
        </w:trPr>
        <w:tc>
          <w:tcPr>
            <w:tcW w:w="813" w:type="dxa"/>
            <w:tcBorders>
              <w:top w:val="single" w:color="000000" w:sz="4" w:space="0"/>
              <w:left w:val="single" w:color="000000" w:sz="4" w:space="0"/>
              <w:bottom w:val="single" w:color="000000" w:sz="4" w:space="0"/>
              <w:right w:val="single" w:color="000000" w:sz="4" w:space="0"/>
            </w:tcBorders>
            <w:noWrap w:val="0"/>
            <w:vAlign w:val="center"/>
          </w:tcPr>
          <w:p w14:paraId="60E5D91B">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4</w:t>
            </w:r>
          </w:p>
        </w:tc>
        <w:tc>
          <w:tcPr>
            <w:tcW w:w="1664" w:type="dxa"/>
            <w:vMerge w:val="continue"/>
            <w:tcBorders>
              <w:top w:val="single" w:color="000000" w:sz="4" w:space="0"/>
              <w:left w:val="single" w:color="000000" w:sz="4" w:space="0"/>
              <w:bottom w:val="single" w:color="000000" w:sz="4" w:space="0"/>
              <w:right w:val="single" w:color="000000" w:sz="4" w:space="0"/>
            </w:tcBorders>
            <w:noWrap w:val="0"/>
            <w:vAlign w:val="center"/>
          </w:tcPr>
          <w:p w14:paraId="7A6DB9E6">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p>
        </w:tc>
        <w:tc>
          <w:tcPr>
            <w:tcW w:w="5313" w:type="dxa"/>
            <w:tcBorders>
              <w:top w:val="single" w:color="000000" w:sz="4" w:space="0"/>
              <w:left w:val="single" w:color="000000" w:sz="4" w:space="0"/>
              <w:bottom w:val="single" w:color="000000" w:sz="4" w:space="0"/>
              <w:right w:val="single" w:color="000000" w:sz="4" w:space="0"/>
            </w:tcBorders>
            <w:noWrap w:val="0"/>
            <w:vAlign w:val="center"/>
          </w:tcPr>
          <w:p w14:paraId="0CAD860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是否具备增设导办区、网办区、自助服务区等功能区域的条件</w:t>
            </w: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265B4791">
            <w:pPr>
              <w:keepNext w:val="0"/>
              <w:keepLines w:val="0"/>
              <w:pageBreakBefore w:val="0"/>
              <w:wordWrap/>
              <w:overflowPunct/>
              <w:topLinePunct w:val="0"/>
              <w:bidi w:val="0"/>
              <w:spacing w:line="560" w:lineRule="exact"/>
              <w:rPr>
                <w:rFonts w:hint="eastAsia" w:ascii="宋体" w:hAnsi="宋体" w:eastAsia="仿宋_GB2312" w:cs="仿宋_GB2312"/>
                <w:color w:val="auto"/>
                <w:sz w:val="24"/>
                <w:szCs w:val="24"/>
                <w:highlight w:val="none"/>
              </w:rPr>
            </w:pPr>
          </w:p>
        </w:tc>
      </w:tr>
      <w:tr w14:paraId="271F1054">
        <w:tblPrEx>
          <w:tblCellMar>
            <w:top w:w="0" w:type="dxa"/>
            <w:left w:w="108" w:type="dxa"/>
            <w:bottom w:w="0" w:type="dxa"/>
            <w:right w:w="108" w:type="dxa"/>
          </w:tblCellMar>
        </w:tblPrEx>
        <w:trPr>
          <w:trHeight w:val="888" w:hRule="atLeast"/>
          <w:jc w:val="center"/>
        </w:trPr>
        <w:tc>
          <w:tcPr>
            <w:tcW w:w="813" w:type="dxa"/>
            <w:tcBorders>
              <w:top w:val="single" w:color="000000" w:sz="4" w:space="0"/>
              <w:left w:val="single" w:color="000000" w:sz="4" w:space="0"/>
              <w:bottom w:val="single" w:color="000000" w:sz="4" w:space="0"/>
              <w:right w:val="single" w:color="000000" w:sz="4" w:space="0"/>
            </w:tcBorders>
            <w:noWrap w:val="0"/>
            <w:vAlign w:val="center"/>
          </w:tcPr>
          <w:p w14:paraId="16F4B5FE">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5</w:t>
            </w:r>
          </w:p>
        </w:tc>
        <w:tc>
          <w:tcPr>
            <w:tcW w:w="1664" w:type="dxa"/>
            <w:vMerge w:val="restart"/>
            <w:tcBorders>
              <w:top w:val="single" w:color="000000" w:sz="4" w:space="0"/>
              <w:left w:val="single" w:color="000000" w:sz="4" w:space="0"/>
              <w:bottom w:val="single" w:color="000000" w:sz="4" w:space="0"/>
              <w:right w:val="single" w:color="000000" w:sz="4" w:space="0"/>
            </w:tcBorders>
            <w:noWrap w:val="0"/>
            <w:vAlign w:val="center"/>
          </w:tcPr>
          <w:p w14:paraId="6E762039">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设施配置</w:t>
            </w:r>
          </w:p>
        </w:tc>
        <w:tc>
          <w:tcPr>
            <w:tcW w:w="5313" w:type="dxa"/>
            <w:tcBorders>
              <w:top w:val="single" w:color="000000" w:sz="4" w:space="0"/>
              <w:left w:val="single" w:color="000000" w:sz="4" w:space="0"/>
              <w:bottom w:val="single" w:color="000000" w:sz="4" w:space="0"/>
              <w:right w:val="single" w:color="000000" w:sz="4" w:space="0"/>
            </w:tcBorders>
            <w:noWrap w:val="0"/>
            <w:vAlign w:val="center"/>
          </w:tcPr>
          <w:p w14:paraId="05347308">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合作银行是否配备满足经办社保业务需要的计算机、高拍仪或扫描仪、打印机等设备</w:t>
            </w: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1ADD124B">
            <w:pPr>
              <w:keepNext w:val="0"/>
              <w:keepLines w:val="0"/>
              <w:pageBreakBefore w:val="0"/>
              <w:wordWrap/>
              <w:overflowPunct/>
              <w:topLinePunct w:val="0"/>
              <w:bidi w:val="0"/>
              <w:spacing w:line="560" w:lineRule="exact"/>
              <w:rPr>
                <w:rFonts w:hint="eastAsia" w:ascii="宋体" w:hAnsi="宋体" w:eastAsia="仿宋_GB2312" w:cs="仿宋_GB2312"/>
                <w:color w:val="auto"/>
                <w:sz w:val="24"/>
                <w:szCs w:val="24"/>
                <w:highlight w:val="none"/>
              </w:rPr>
            </w:pPr>
          </w:p>
        </w:tc>
      </w:tr>
      <w:tr w14:paraId="2B16FA23">
        <w:tblPrEx>
          <w:tblCellMar>
            <w:top w:w="0" w:type="dxa"/>
            <w:left w:w="108" w:type="dxa"/>
            <w:bottom w:w="0" w:type="dxa"/>
            <w:right w:w="108" w:type="dxa"/>
          </w:tblCellMar>
        </w:tblPrEx>
        <w:trPr>
          <w:trHeight w:val="904" w:hRule="atLeast"/>
          <w:jc w:val="center"/>
        </w:trPr>
        <w:tc>
          <w:tcPr>
            <w:tcW w:w="813" w:type="dxa"/>
            <w:tcBorders>
              <w:top w:val="single" w:color="000000" w:sz="4" w:space="0"/>
              <w:left w:val="single" w:color="000000" w:sz="4" w:space="0"/>
              <w:bottom w:val="single" w:color="000000" w:sz="4" w:space="0"/>
              <w:right w:val="single" w:color="000000" w:sz="4" w:space="0"/>
            </w:tcBorders>
            <w:noWrap w:val="0"/>
            <w:vAlign w:val="center"/>
          </w:tcPr>
          <w:p w14:paraId="334650CE">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6</w:t>
            </w:r>
          </w:p>
        </w:tc>
        <w:tc>
          <w:tcPr>
            <w:tcW w:w="1664" w:type="dxa"/>
            <w:vMerge w:val="continue"/>
            <w:tcBorders>
              <w:top w:val="single" w:color="000000" w:sz="4" w:space="0"/>
              <w:left w:val="single" w:color="000000" w:sz="4" w:space="0"/>
              <w:bottom w:val="single" w:color="000000" w:sz="4" w:space="0"/>
              <w:right w:val="single" w:color="000000" w:sz="4" w:space="0"/>
            </w:tcBorders>
            <w:noWrap w:val="0"/>
            <w:vAlign w:val="center"/>
          </w:tcPr>
          <w:p w14:paraId="20A600F0">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p>
        </w:tc>
        <w:tc>
          <w:tcPr>
            <w:tcW w:w="5313" w:type="dxa"/>
            <w:tcBorders>
              <w:top w:val="single" w:color="000000" w:sz="4" w:space="0"/>
              <w:left w:val="single" w:color="000000" w:sz="4" w:space="0"/>
              <w:bottom w:val="single" w:color="000000" w:sz="4" w:space="0"/>
              <w:right w:val="single" w:color="000000" w:sz="4" w:space="0"/>
            </w:tcBorders>
            <w:noWrap w:val="0"/>
            <w:vAlign w:val="center"/>
          </w:tcPr>
          <w:p w14:paraId="7B7375C6">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提供自助服务的合作网点是否配备集成打印机、高拍仪或扫描仪、生物识别设备的自助终端</w:t>
            </w: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3DE83A78">
            <w:pPr>
              <w:keepNext w:val="0"/>
              <w:keepLines w:val="0"/>
              <w:pageBreakBefore w:val="0"/>
              <w:wordWrap/>
              <w:overflowPunct/>
              <w:topLinePunct w:val="0"/>
              <w:bidi w:val="0"/>
              <w:spacing w:line="560" w:lineRule="exact"/>
              <w:rPr>
                <w:rFonts w:hint="eastAsia" w:ascii="宋体" w:hAnsi="宋体" w:eastAsia="仿宋_GB2312" w:cs="仿宋_GB2312"/>
                <w:color w:val="auto"/>
                <w:sz w:val="24"/>
                <w:szCs w:val="24"/>
                <w:highlight w:val="none"/>
              </w:rPr>
            </w:pPr>
          </w:p>
        </w:tc>
      </w:tr>
      <w:tr w14:paraId="6ABA36F8">
        <w:tblPrEx>
          <w:tblCellMar>
            <w:top w:w="0" w:type="dxa"/>
            <w:left w:w="108" w:type="dxa"/>
            <w:bottom w:w="0" w:type="dxa"/>
            <w:right w:w="108" w:type="dxa"/>
          </w:tblCellMar>
        </w:tblPrEx>
        <w:trPr>
          <w:trHeight w:val="1520" w:hRule="atLeast"/>
          <w:jc w:val="center"/>
        </w:trPr>
        <w:tc>
          <w:tcPr>
            <w:tcW w:w="813" w:type="dxa"/>
            <w:tcBorders>
              <w:top w:val="single" w:color="000000" w:sz="4" w:space="0"/>
              <w:left w:val="single" w:color="000000" w:sz="4" w:space="0"/>
              <w:bottom w:val="single" w:color="000000" w:sz="4" w:space="0"/>
              <w:right w:val="single" w:color="000000" w:sz="4" w:space="0"/>
            </w:tcBorders>
            <w:noWrap w:val="0"/>
            <w:vAlign w:val="center"/>
          </w:tcPr>
          <w:p w14:paraId="61860C2E">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7</w:t>
            </w:r>
          </w:p>
        </w:tc>
        <w:tc>
          <w:tcPr>
            <w:tcW w:w="1664" w:type="dxa"/>
            <w:vMerge w:val="restart"/>
            <w:tcBorders>
              <w:top w:val="single" w:color="000000" w:sz="4" w:space="0"/>
              <w:left w:val="single" w:color="000000" w:sz="4" w:space="0"/>
              <w:bottom w:val="single" w:color="000000" w:sz="4" w:space="0"/>
              <w:right w:val="single" w:color="000000" w:sz="4" w:space="0"/>
            </w:tcBorders>
            <w:noWrap w:val="0"/>
            <w:vAlign w:val="center"/>
          </w:tcPr>
          <w:p w14:paraId="27C42614">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人员配备</w:t>
            </w:r>
          </w:p>
        </w:tc>
        <w:tc>
          <w:tcPr>
            <w:tcW w:w="5313" w:type="dxa"/>
            <w:tcBorders>
              <w:top w:val="single" w:color="000000" w:sz="4" w:space="0"/>
              <w:left w:val="single" w:color="000000" w:sz="4" w:space="0"/>
              <w:bottom w:val="single" w:color="000000" w:sz="4" w:space="0"/>
              <w:right w:val="single" w:color="000000" w:sz="4" w:space="0"/>
            </w:tcBorders>
            <w:noWrap w:val="0"/>
            <w:vAlign w:val="center"/>
          </w:tcPr>
          <w:p w14:paraId="078BC5C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合作银行是否合理配备若干名专科以上学历、政治素质高、法治意识和职业道德素养好、工作责任心强、熟悉电脑操作的工作人员经办社保业务</w:t>
            </w: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45B75B61">
            <w:pPr>
              <w:keepNext w:val="0"/>
              <w:keepLines w:val="0"/>
              <w:pageBreakBefore w:val="0"/>
              <w:wordWrap/>
              <w:overflowPunct/>
              <w:topLinePunct w:val="0"/>
              <w:bidi w:val="0"/>
              <w:spacing w:line="560" w:lineRule="exact"/>
              <w:rPr>
                <w:rFonts w:hint="eastAsia" w:ascii="宋体" w:hAnsi="宋体" w:eastAsia="仿宋_GB2312" w:cs="仿宋_GB2312"/>
                <w:color w:val="auto"/>
                <w:sz w:val="24"/>
                <w:szCs w:val="24"/>
                <w:highlight w:val="none"/>
              </w:rPr>
            </w:pPr>
          </w:p>
        </w:tc>
      </w:tr>
      <w:tr w14:paraId="10AA3F2B">
        <w:tblPrEx>
          <w:tblCellMar>
            <w:top w:w="0" w:type="dxa"/>
            <w:left w:w="108" w:type="dxa"/>
            <w:bottom w:w="0" w:type="dxa"/>
            <w:right w:w="108" w:type="dxa"/>
          </w:tblCellMar>
        </w:tblPrEx>
        <w:trPr>
          <w:trHeight w:val="1030" w:hRule="atLeast"/>
          <w:jc w:val="center"/>
        </w:trPr>
        <w:tc>
          <w:tcPr>
            <w:tcW w:w="813" w:type="dxa"/>
            <w:tcBorders>
              <w:top w:val="single" w:color="000000" w:sz="4" w:space="0"/>
              <w:left w:val="single" w:color="000000" w:sz="4" w:space="0"/>
              <w:bottom w:val="single" w:color="000000" w:sz="4" w:space="0"/>
              <w:right w:val="single" w:color="000000" w:sz="4" w:space="0"/>
            </w:tcBorders>
            <w:noWrap w:val="0"/>
            <w:vAlign w:val="center"/>
          </w:tcPr>
          <w:p w14:paraId="0DED3A8B">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8</w:t>
            </w:r>
          </w:p>
        </w:tc>
        <w:tc>
          <w:tcPr>
            <w:tcW w:w="1664" w:type="dxa"/>
            <w:vMerge w:val="continue"/>
            <w:tcBorders>
              <w:top w:val="single" w:color="000000" w:sz="4" w:space="0"/>
              <w:left w:val="single" w:color="000000" w:sz="4" w:space="0"/>
              <w:bottom w:val="single" w:color="000000" w:sz="4" w:space="0"/>
              <w:right w:val="single" w:color="000000" w:sz="4" w:space="0"/>
            </w:tcBorders>
            <w:noWrap w:val="0"/>
            <w:vAlign w:val="center"/>
          </w:tcPr>
          <w:p w14:paraId="06C1A800">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p>
        </w:tc>
        <w:tc>
          <w:tcPr>
            <w:tcW w:w="5313" w:type="dxa"/>
            <w:tcBorders>
              <w:top w:val="single" w:color="000000" w:sz="4" w:space="0"/>
              <w:left w:val="single" w:color="000000" w:sz="4" w:space="0"/>
              <w:bottom w:val="single" w:color="000000" w:sz="4" w:space="0"/>
              <w:right w:val="single" w:color="000000" w:sz="4" w:space="0"/>
            </w:tcBorders>
            <w:noWrap w:val="0"/>
            <w:vAlign w:val="center"/>
          </w:tcPr>
          <w:p w14:paraId="46A85D5D">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工作人员是否仪容仪表端庄，着装整洁大方，行为举止文明规范，工作用语礼貌亲切</w:t>
            </w: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419A0E39">
            <w:pPr>
              <w:keepNext w:val="0"/>
              <w:keepLines w:val="0"/>
              <w:pageBreakBefore w:val="0"/>
              <w:wordWrap/>
              <w:overflowPunct/>
              <w:topLinePunct w:val="0"/>
              <w:bidi w:val="0"/>
              <w:spacing w:line="560" w:lineRule="exact"/>
              <w:rPr>
                <w:rFonts w:hint="eastAsia" w:ascii="宋体" w:hAnsi="宋体" w:eastAsia="仿宋_GB2312" w:cs="仿宋_GB2312"/>
                <w:color w:val="auto"/>
                <w:sz w:val="24"/>
                <w:szCs w:val="24"/>
                <w:highlight w:val="none"/>
              </w:rPr>
            </w:pPr>
          </w:p>
        </w:tc>
      </w:tr>
      <w:tr w14:paraId="57AEC533">
        <w:tblPrEx>
          <w:tblCellMar>
            <w:top w:w="0" w:type="dxa"/>
            <w:left w:w="108" w:type="dxa"/>
            <w:bottom w:w="0" w:type="dxa"/>
            <w:right w:w="108" w:type="dxa"/>
          </w:tblCellMar>
        </w:tblPrEx>
        <w:trPr>
          <w:trHeight w:val="1135" w:hRule="atLeast"/>
          <w:jc w:val="center"/>
        </w:trPr>
        <w:tc>
          <w:tcPr>
            <w:tcW w:w="813" w:type="dxa"/>
            <w:tcBorders>
              <w:top w:val="single" w:color="000000" w:sz="4" w:space="0"/>
              <w:left w:val="single" w:color="000000" w:sz="4" w:space="0"/>
              <w:bottom w:val="single" w:color="000000" w:sz="4" w:space="0"/>
              <w:right w:val="single" w:color="000000" w:sz="4" w:space="0"/>
            </w:tcBorders>
            <w:noWrap w:val="0"/>
            <w:vAlign w:val="center"/>
          </w:tcPr>
          <w:p w14:paraId="603A2645">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9</w:t>
            </w:r>
          </w:p>
        </w:tc>
        <w:tc>
          <w:tcPr>
            <w:tcW w:w="1664" w:type="dxa"/>
            <w:tcBorders>
              <w:top w:val="single" w:color="000000" w:sz="4" w:space="0"/>
              <w:left w:val="single" w:color="000000" w:sz="4" w:space="0"/>
              <w:bottom w:val="single" w:color="000000" w:sz="4" w:space="0"/>
              <w:right w:val="single" w:color="000000" w:sz="4" w:space="0"/>
            </w:tcBorders>
            <w:noWrap w:val="0"/>
            <w:vAlign w:val="center"/>
          </w:tcPr>
          <w:p w14:paraId="62E22428">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协议签订</w:t>
            </w:r>
          </w:p>
        </w:tc>
        <w:tc>
          <w:tcPr>
            <w:tcW w:w="5313" w:type="dxa"/>
            <w:tcBorders>
              <w:top w:val="single" w:color="000000" w:sz="4" w:space="0"/>
              <w:left w:val="single" w:color="000000" w:sz="4" w:space="0"/>
              <w:bottom w:val="single" w:color="000000" w:sz="4" w:space="0"/>
              <w:right w:val="single" w:color="000000" w:sz="4" w:space="0"/>
            </w:tcBorders>
            <w:noWrap w:val="0"/>
            <w:vAlign w:val="center"/>
          </w:tcPr>
          <w:p w14:paraId="5C06EEE3">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社保经办机构是否与合作银行签署业务经办合作协议</w:t>
            </w: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0EDDF5C6">
            <w:pPr>
              <w:keepNext w:val="0"/>
              <w:keepLines w:val="0"/>
              <w:pageBreakBefore w:val="0"/>
              <w:wordWrap/>
              <w:overflowPunct/>
              <w:topLinePunct w:val="0"/>
              <w:bidi w:val="0"/>
              <w:spacing w:line="560" w:lineRule="exact"/>
              <w:rPr>
                <w:rFonts w:hint="eastAsia" w:ascii="宋体" w:hAnsi="宋体" w:eastAsia="仿宋_GB2312" w:cs="仿宋_GB2312"/>
                <w:color w:val="auto"/>
                <w:sz w:val="24"/>
                <w:szCs w:val="24"/>
                <w:highlight w:val="none"/>
              </w:rPr>
            </w:pPr>
          </w:p>
        </w:tc>
      </w:tr>
      <w:tr w14:paraId="3CBD52BA">
        <w:tblPrEx>
          <w:tblCellMar>
            <w:top w:w="0" w:type="dxa"/>
            <w:left w:w="108" w:type="dxa"/>
            <w:bottom w:w="0" w:type="dxa"/>
            <w:right w:w="108" w:type="dxa"/>
          </w:tblCellMar>
        </w:tblPrEx>
        <w:trPr>
          <w:trHeight w:val="900" w:hRule="atLeast"/>
          <w:jc w:val="center"/>
        </w:trPr>
        <w:tc>
          <w:tcPr>
            <w:tcW w:w="813" w:type="dxa"/>
            <w:tcBorders>
              <w:top w:val="single" w:color="000000" w:sz="4" w:space="0"/>
              <w:left w:val="single" w:color="000000" w:sz="4" w:space="0"/>
              <w:bottom w:val="single" w:color="000000" w:sz="4" w:space="0"/>
              <w:right w:val="single" w:color="000000" w:sz="4" w:space="0"/>
            </w:tcBorders>
            <w:noWrap w:val="0"/>
            <w:vAlign w:val="center"/>
          </w:tcPr>
          <w:p w14:paraId="128B5F77">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10</w:t>
            </w:r>
          </w:p>
        </w:tc>
        <w:tc>
          <w:tcPr>
            <w:tcW w:w="1664" w:type="dxa"/>
            <w:vMerge w:val="restart"/>
            <w:tcBorders>
              <w:top w:val="single" w:color="000000" w:sz="4" w:space="0"/>
              <w:left w:val="single" w:color="000000" w:sz="4" w:space="0"/>
              <w:bottom w:val="single" w:color="000000" w:sz="4" w:space="0"/>
              <w:right w:val="single" w:color="000000" w:sz="4" w:space="0"/>
            </w:tcBorders>
            <w:noWrap w:val="0"/>
            <w:vAlign w:val="center"/>
          </w:tcPr>
          <w:p w14:paraId="24AB13C7">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挂牌标识</w:t>
            </w:r>
          </w:p>
        </w:tc>
        <w:tc>
          <w:tcPr>
            <w:tcW w:w="5313" w:type="dxa"/>
            <w:tcBorders>
              <w:top w:val="single" w:color="000000" w:sz="4" w:space="0"/>
              <w:left w:val="single" w:color="000000" w:sz="4" w:space="0"/>
              <w:bottom w:val="single" w:color="000000" w:sz="4" w:space="0"/>
              <w:right w:val="single" w:color="000000" w:sz="4" w:space="0"/>
            </w:tcBorders>
            <w:noWrap w:val="0"/>
            <w:vAlign w:val="center"/>
          </w:tcPr>
          <w:p w14:paraId="405C3EE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合作网点是否在显著位置悬挂指示明确、统一规范的“社保服务合作网点”标牌</w:t>
            </w: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2CF392DE">
            <w:pPr>
              <w:keepNext w:val="0"/>
              <w:keepLines w:val="0"/>
              <w:pageBreakBefore w:val="0"/>
              <w:wordWrap/>
              <w:overflowPunct/>
              <w:topLinePunct w:val="0"/>
              <w:bidi w:val="0"/>
              <w:spacing w:line="560" w:lineRule="exact"/>
              <w:rPr>
                <w:rFonts w:hint="eastAsia" w:ascii="宋体" w:hAnsi="宋体" w:eastAsia="仿宋_GB2312" w:cs="仿宋_GB2312"/>
                <w:color w:val="auto"/>
                <w:sz w:val="24"/>
                <w:szCs w:val="24"/>
                <w:highlight w:val="none"/>
              </w:rPr>
            </w:pPr>
          </w:p>
        </w:tc>
      </w:tr>
      <w:tr w14:paraId="65D3BE0D">
        <w:tblPrEx>
          <w:tblCellMar>
            <w:top w:w="0" w:type="dxa"/>
            <w:left w:w="108" w:type="dxa"/>
            <w:bottom w:w="0" w:type="dxa"/>
            <w:right w:w="108" w:type="dxa"/>
          </w:tblCellMar>
        </w:tblPrEx>
        <w:trPr>
          <w:trHeight w:val="890" w:hRule="atLeast"/>
          <w:jc w:val="center"/>
        </w:trPr>
        <w:tc>
          <w:tcPr>
            <w:tcW w:w="813" w:type="dxa"/>
            <w:tcBorders>
              <w:top w:val="single" w:color="000000" w:sz="4" w:space="0"/>
              <w:left w:val="single" w:color="000000" w:sz="4" w:space="0"/>
              <w:bottom w:val="single" w:color="000000" w:sz="4" w:space="0"/>
              <w:right w:val="single" w:color="000000" w:sz="4" w:space="0"/>
            </w:tcBorders>
            <w:noWrap w:val="0"/>
            <w:vAlign w:val="center"/>
          </w:tcPr>
          <w:p w14:paraId="68A6E57D">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11</w:t>
            </w:r>
          </w:p>
        </w:tc>
        <w:tc>
          <w:tcPr>
            <w:tcW w:w="1664" w:type="dxa"/>
            <w:vMerge w:val="continue"/>
            <w:tcBorders>
              <w:top w:val="single" w:color="000000" w:sz="4" w:space="0"/>
              <w:left w:val="single" w:color="000000" w:sz="4" w:space="0"/>
              <w:bottom w:val="single" w:color="000000" w:sz="4" w:space="0"/>
              <w:right w:val="single" w:color="000000" w:sz="4" w:space="0"/>
            </w:tcBorders>
            <w:noWrap w:val="0"/>
            <w:vAlign w:val="center"/>
          </w:tcPr>
          <w:p w14:paraId="777EF8D7">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p>
        </w:tc>
        <w:tc>
          <w:tcPr>
            <w:tcW w:w="5313" w:type="dxa"/>
            <w:tcBorders>
              <w:top w:val="single" w:color="000000" w:sz="4" w:space="0"/>
              <w:left w:val="single" w:color="000000" w:sz="4" w:space="0"/>
              <w:bottom w:val="single" w:color="000000" w:sz="4" w:space="0"/>
              <w:right w:val="single" w:color="000000" w:sz="4" w:space="0"/>
            </w:tcBorders>
            <w:noWrap w:val="0"/>
            <w:vAlign w:val="center"/>
          </w:tcPr>
          <w:p w14:paraId="1F1AB19D">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业务窗口（柜台）、导办区、网办区、自助服务区是否有标示社会保险业务相关标识</w:t>
            </w: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60FF1681">
            <w:pPr>
              <w:keepNext w:val="0"/>
              <w:keepLines w:val="0"/>
              <w:pageBreakBefore w:val="0"/>
              <w:wordWrap/>
              <w:overflowPunct/>
              <w:topLinePunct w:val="0"/>
              <w:bidi w:val="0"/>
              <w:spacing w:line="560" w:lineRule="exact"/>
              <w:rPr>
                <w:rFonts w:hint="eastAsia" w:ascii="宋体" w:hAnsi="宋体" w:eastAsia="仿宋_GB2312" w:cs="仿宋_GB2312"/>
                <w:color w:val="auto"/>
                <w:sz w:val="24"/>
                <w:szCs w:val="24"/>
                <w:highlight w:val="none"/>
              </w:rPr>
            </w:pPr>
          </w:p>
        </w:tc>
      </w:tr>
      <w:tr w14:paraId="05C72679">
        <w:tblPrEx>
          <w:tblCellMar>
            <w:top w:w="0" w:type="dxa"/>
            <w:left w:w="108" w:type="dxa"/>
            <w:bottom w:w="0" w:type="dxa"/>
            <w:right w:w="108" w:type="dxa"/>
          </w:tblCellMar>
        </w:tblPrEx>
        <w:trPr>
          <w:trHeight w:val="965" w:hRule="atLeast"/>
          <w:jc w:val="center"/>
        </w:trPr>
        <w:tc>
          <w:tcPr>
            <w:tcW w:w="813" w:type="dxa"/>
            <w:tcBorders>
              <w:top w:val="single" w:color="000000" w:sz="4" w:space="0"/>
              <w:left w:val="single" w:color="000000" w:sz="4" w:space="0"/>
              <w:bottom w:val="single" w:color="000000" w:sz="4" w:space="0"/>
              <w:right w:val="single" w:color="000000" w:sz="4" w:space="0"/>
            </w:tcBorders>
            <w:noWrap w:val="0"/>
            <w:vAlign w:val="center"/>
          </w:tcPr>
          <w:p w14:paraId="367BC70C">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12</w:t>
            </w:r>
          </w:p>
        </w:tc>
        <w:tc>
          <w:tcPr>
            <w:tcW w:w="1664" w:type="dxa"/>
            <w:tcBorders>
              <w:top w:val="single" w:color="000000" w:sz="4" w:space="0"/>
              <w:left w:val="single" w:color="000000" w:sz="4" w:space="0"/>
              <w:bottom w:val="single" w:color="000000" w:sz="4" w:space="0"/>
              <w:right w:val="single" w:color="000000" w:sz="4" w:space="0"/>
            </w:tcBorders>
            <w:noWrap w:val="0"/>
            <w:vAlign w:val="center"/>
          </w:tcPr>
          <w:p w14:paraId="22A602D4">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表单要求</w:t>
            </w:r>
          </w:p>
        </w:tc>
        <w:tc>
          <w:tcPr>
            <w:tcW w:w="5313" w:type="dxa"/>
            <w:tcBorders>
              <w:top w:val="single" w:color="000000" w:sz="4" w:space="0"/>
              <w:left w:val="single" w:color="000000" w:sz="4" w:space="0"/>
              <w:bottom w:val="single" w:color="000000" w:sz="4" w:space="0"/>
              <w:right w:val="single" w:color="000000" w:sz="4" w:space="0"/>
            </w:tcBorders>
            <w:noWrap w:val="0"/>
            <w:vAlign w:val="center"/>
          </w:tcPr>
          <w:p w14:paraId="2CE625D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合作网点是否提供社保经办机构统一格式的社保业务宣传手册、办事指南及业务表单</w:t>
            </w: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43BCC929">
            <w:pPr>
              <w:keepNext w:val="0"/>
              <w:keepLines w:val="0"/>
              <w:pageBreakBefore w:val="0"/>
              <w:wordWrap/>
              <w:overflowPunct/>
              <w:topLinePunct w:val="0"/>
              <w:bidi w:val="0"/>
              <w:spacing w:line="560" w:lineRule="exact"/>
              <w:rPr>
                <w:rFonts w:hint="eastAsia" w:ascii="宋体" w:hAnsi="宋体" w:eastAsia="仿宋_GB2312" w:cs="仿宋_GB2312"/>
                <w:color w:val="auto"/>
                <w:sz w:val="24"/>
                <w:szCs w:val="24"/>
                <w:highlight w:val="none"/>
              </w:rPr>
            </w:pPr>
          </w:p>
        </w:tc>
      </w:tr>
      <w:tr w14:paraId="274D403B">
        <w:tblPrEx>
          <w:tblCellMar>
            <w:top w:w="0" w:type="dxa"/>
            <w:left w:w="108" w:type="dxa"/>
            <w:bottom w:w="0" w:type="dxa"/>
            <w:right w:w="108" w:type="dxa"/>
          </w:tblCellMar>
        </w:tblPrEx>
        <w:trPr>
          <w:trHeight w:val="852" w:hRule="atLeast"/>
          <w:jc w:val="center"/>
        </w:trPr>
        <w:tc>
          <w:tcPr>
            <w:tcW w:w="813" w:type="dxa"/>
            <w:tcBorders>
              <w:top w:val="single" w:color="000000" w:sz="4" w:space="0"/>
              <w:left w:val="single" w:color="000000" w:sz="4" w:space="0"/>
              <w:bottom w:val="single" w:color="000000" w:sz="4" w:space="0"/>
              <w:right w:val="single" w:color="000000" w:sz="4" w:space="0"/>
            </w:tcBorders>
            <w:noWrap w:val="0"/>
            <w:vAlign w:val="center"/>
          </w:tcPr>
          <w:p w14:paraId="656A1819">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13</w:t>
            </w:r>
          </w:p>
        </w:tc>
        <w:tc>
          <w:tcPr>
            <w:tcW w:w="1664" w:type="dxa"/>
            <w:tcBorders>
              <w:top w:val="single" w:color="000000" w:sz="4" w:space="0"/>
              <w:left w:val="single" w:color="000000" w:sz="4" w:space="0"/>
              <w:bottom w:val="single" w:color="000000" w:sz="4" w:space="0"/>
              <w:right w:val="single" w:color="000000" w:sz="4" w:space="0"/>
            </w:tcBorders>
            <w:noWrap w:val="0"/>
            <w:vAlign w:val="center"/>
          </w:tcPr>
          <w:p w14:paraId="15F9C5C2">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经办范围</w:t>
            </w:r>
          </w:p>
        </w:tc>
        <w:tc>
          <w:tcPr>
            <w:tcW w:w="5313" w:type="dxa"/>
            <w:tcBorders>
              <w:top w:val="single" w:color="000000" w:sz="4" w:space="0"/>
              <w:left w:val="single" w:color="000000" w:sz="4" w:space="0"/>
              <w:bottom w:val="single" w:color="000000" w:sz="4" w:space="0"/>
              <w:right w:val="single" w:color="000000" w:sz="4" w:space="0"/>
            </w:tcBorders>
            <w:noWrap w:val="0"/>
            <w:vAlign w:val="center"/>
          </w:tcPr>
          <w:p w14:paraId="3CBE556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合作银行是否按照省或市级《银行经办社会保险业务指导目录》范围经办业务</w:t>
            </w: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71BD1A6C">
            <w:pPr>
              <w:keepNext w:val="0"/>
              <w:keepLines w:val="0"/>
              <w:pageBreakBefore w:val="0"/>
              <w:wordWrap/>
              <w:overflowPunct/>
              <w:topLinePunct w:val="0"/>
              <w:bidi w:val="0"/>
              <w:spacing w:line="560" w:lineRule="exact"/>
              <w:rPr>
                <w:rFonts w:hint="eastAsia" w:ascii="宋体" w:hAnsi="宋体" w:eastAsia="仿宋_GB2312" w:cs="仿宋_GB2312"/>
                <w:color w:val="auto"/>
                <w:sz w:val="24"/>
                <w:szCs w:val="24"/>
                <w:highlight w:val="none"/>
              </w:rPr>
            </w:pPr>
          </w:p>
        </w:tc>
      </w:tr>
      <w:tr w14:paraId="6085E4F8">
        <w:tblPrEx>
          <w:tblCellMar>
            <w:top w:w="0" w:type="dxa"/>
            <w:left w:w="108" w:type="dxa"/>
            <w:bottom w:w="0" w:type="dxa"/>
            <w:right w:w="108" w:type="dxa"/>
          </w:tblCellMar>
        </w:tblPrEx>
        <w:trPr>
          <w:trHeight w:val="1076" w:hRule="atLeast"/>
          <w:jc w:val="center"/>
        </w:trPr>
        <w:tc>
          <w:tcPr>
            <w:tcW w:w="813" w:type="dxa"/>
            <w:tcBorders>
              <w:top w:val="single" w:color="000000" w:sz="4" w:space="0"/>
              <w:left w:val="single" w:color="000000" w:sz="4" w:space="0"/>
              <w:bottom w:val="single" w:color="000000" w:sz="4" w:space="0"/>
              <w:right w:val="single" w:color="000000" w:sz="4" w:space="0"/>
            </w:tcBorders>
            <w:noWrap w:val="0"/>
            <w:vAlign w:val="center"/>
          </w:tcPr>
          <w:p w14:paraId="1275C159">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14</w:t>
            </w:r>
          </w:p>
        </w:tc>
        <w:tc>
          <w:tcPr>
            <w:tcW w:w="1664" w:type="dxa"/>
            <w:vMerge w:val="restart"/>
            <w:tcBorders>
              <w:top w:val="single" w:color="000000" w:sz="4" w:space="0"/>
              <w:left w:val="single" w:color="000000" w:sz="4" w:space="0"/>
              <w:bottom w:val="single" w:color="000000" w:sz="4" w:space="0"/>
              <w:right w:val="single" w:color="000000" w:sz="4" w:space="0"/>
            </w:tcBorders>
            <w:noWrap w:val="0"/>
            <w:vAlign w:val="center"/>
          </w:tcPr>
          <w:p w14:paraId="79266D91">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服务方式</w:t>
            </w:r>
          </w:p>
        </w:tc>
        <w:tc>
          <w:tcPr>
            <w:tcW w:w="5313" w:type="dxa"/>
            <w:tcBorders>
              <w:top w:val="single" w:color="000000" w:sz="4" w:space="0"/>
              <w:left w:val="single" w:color="000000" w:sz="4" w:space="0"/>
              <w:bottom w:val="single" w:color="000000" w:sz="4" w:space="0"/>
              <w:right w:val="single" w:color="000000" w:sz="4" w:space="0"/>
            </w:tcBorders>
            <w:noWrap w:val="0"/>
            <w:vAlign w:val="center"/>
          </w:tcPr>
          <w:p w14:paraId="7CFEA4C2">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合作网点设置社保业务窗口（柜台）的，是否通过</w:t>
            </w:r>
            <w:r>
              <w:rPr>
                <w:rFonts w:hint="eastAsia" w:ascii="宋体" w:hAnsi="宋体" w:eastAsia="仿宋_GB2312" w:cs="仿宋_GB2312"/>
                <w:color w:val="auto"/>
                <w:sz w:val="24"/>
                <w:szCs w:val="24"/>
                <w:highlight w:val="none"/>
                <w:lang w:eastAsia="zh-CN"/>
              </w:rPr>
              <w:t>省</w:t>
            </w:r>
            <w:r>
              <w:rPr>
                <w:rFonts w:hint="eastAsia" w:ascii="宋体" w:hAnsi="宋体" w:eastAsia="仿宋_GB2312" w:cs="仿宋_GB2312"/>
                <w:color w:val="auto"/>
                <w:sz w:val="24"/>
                <w:szCs w:val="24"/>
                <w:highlight w:val="none"/>
              </w:rPr>
              <w:t>人社</w:t>
            </w:r>
            <w:r>
              <w:rPr>
                <w:rFonts w:hint="eastAsia" w:ascii="宋体" w:hAnsi="宋体" w:eastAsia="仿宋_GB2312" w:cs="仿宋_GB2312"/>
                <w:color w:val="auto"/>
                <w:sz w:val="24"/>
                <w:szCs w:val="24"/>
                <w:highlight w:val="none"/>
                <w:lang w:eastAsia="zh-CN"/>
              </w:rPr>
              <w:t>一体化</w:t>
            </w:r>
            <w:r>
              <w:rPr>
                <w:rFonts w:hint="eastAsia" w:ascii="宋体" w:hAnsi="宋体" w:eastAsia="仿宋_GB2312" w:cs="仿宋_GB2312"/>
                <w:color w:val="auto"/>
                <w:sz w:val="24"/>
                <w:szCs w:val="24"/>
                <w:highlight w:val="none"/>
              </w:rPr>
              <w:t>系统经办社保业务；有条件的网点是否实行专窗经办</w:t>
            </w: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5F5EE1F4">
            <w:pPr>
              <w:keepNext w:val="0"/>
              <w:keepLines w:val="0"/>
              <w:pageBreakBefore w:val="0"/>
              <w:wordWrap/>
              <w:overflowPunct/>
              <w:topLinePunct w:val="0"/>
              <w:bidi w:val="0"/>
              <w:spacing w:line="560" w:lineRule="exact"/>
              <w:rPr>
                <w:rFonts w:hint="eastAsia" w:ascii="宋体" w:hAnsi="宋体" w:eastAsia="仿宋_GB2312" w:cs="仿宋_GB2312"/>
                <w:color w:val="auto"/>
                <w:sz w:val="24"/>
                <w:szCs w:val="24"/>
                <w:highlight w:val="none"/>
              </w:rPr>
            </w:pPr>
          </w:p>
        </w:tc>
      </w:tr>
      <w:tr w14:paraId="27AE15CA">
        <w:tblPrEx>
          <w:tblCellMar>
            <w:top w:w="0" w:type="dxa"/>
            <w:left w:w="108" w:type="dxa"/>
            <w:bottom w:w="0" w:type="dxa"/>
            <w:right w:w="108" w:type="dxa"/>
          </w:tblCellMar>
        </w:tblPrEx>
        <w:trPr>
          <w:trHeight w:val="1190" w:hRule="atLeast"/>
          <w:jc w:val="center"/>
        </w:trPr>
        <w:tc>
          <w:tcPr>
            <w:tcW w:w="813" w:type="dxa"/>
            <w:tcBorders>
              <w:top w:val="single" w:color="000000" w:sz="4" w:space="0"/>
              <w:left w:val="single" w:color="000000" w:sz="4" w:space="0"/>
              <w:bottom w:val="single" w:color="000000" w:sz="4" w:space="0"/>
              <w:right w:val="single" w:color="000000" w:sz="4" w:space="0"/>
            </w:tcBorders>
            <w:noWrap w:val="0"/>
            <w:vAlign w:val="center"/>
          </w:tcPr>
          <w:p w14:paraId="63E2E3F1">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15</w:t>
            </w:r>
          </w:p>
        </w:tc>
        <w:tc>
          <w:tcPr>
            <w:tcW w:w="1664" w:type="dxa"/>
            <w:vMerge w:val="continue"/>
            <w:tcBorders>
              <w:top w:val="single" w:color="000000" w:sz="4" w:space="0"/>
              <w:left w:val="single" w:color="000000" w:sz="4" w:space="0"/>
              <w:bottom w:val="single" w:color="000000" w:sz="4" w:space="0"/>
              <w:right w:val="single" w:color="000000" w:sz="4" w:space="0"/>
            </w:tcBorders>
            <w:noWrap w:val="0"/>
            <w:vAlign w:val="center"/>
          </w:tcPr>
          <w:p w14:paraId="02B02510">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p>
        </w:tc>
        <w:tc>
          <w:tcPr>
            <w:tcW w:w="5313" w:type="dxa"/>
            <w:tcBorders>
              <w:top w:val="single" w:color="000000" w:sz="4" w:space="0"/>
              <w:left w:val="single" w:color="000000" w:sz="4" w:space="0"/>
              <w:bottom w:val="single" w:color="000000" w:sz="4" w:space="0"/>
              <w:right w:val="single" w:color="000000" w:sz="4" w:space="0"/>
            </w:tcBorders>
            <w:noWrap w:val="0"/>
            <w:vAlign w:val="center"/>
          </w:tcPr>
          <w:p w14:paraId="39366310">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设置网办区的，是否通过国家统一的公共服务平台、</w:t>
            </w:r>
            <w:r>
              <w:rPr>
                <w:rFonts w:hint="eastAsia" w:ascii="宋体" w:hAnsi="宋体" w:eastAsia="仿宋_GB2312" w:cs="仿宋_GB2312"/>
                <w:color w:val="auto"/>
                <w:sz w:val="24"/>
                <w:szCs w:val="24"/>
                <w:highlight w:val="none"/>
                <w:lang w:eastAsia="zh-CN"/>
              </w:rPr>
              <w:t>江西</w:t>
            </w:r>
            <w:r>
              <w:rPr>
                <w:rFonts w:hint="eastAsia" w:ascii="宋体" w:hAnsi="宋体" w:eastAsia="仿宋_GB2312" w:cs="仿宋_GB2312"/>
                <w:color w:val="auto"/>
                <w:sz w:val="24"/>
                <w:szCs w:val="24"/>
                <w:highlight w:val="none"/>
              </w:rPr>
              <w:t>人社一体化平台系统等线上平台实现业务经办</w:t>
            </w: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25398A55">
            <w:pPr>
              <w:keepNext w:val="0"/>
              <w:keepLines w:val="0"/>
              <w:pageBreakBefore w:val="0"/>
              <w:wordWrap/>
              <w:overflowPunct/>
              <w:topLinePunct w:val="0"/>
              <w:bidi w:val="0"/>
              <w:spacing w:line="560" w:lineRule="exact"/>
              <w:rPr>
                <w:rFonts w:hint="eastAsia" w:ascii="宋体" w:hAnsi="宋体" w:eastAsia="仿宋_GB2312" w:cs="仿宋_GB2312"/>
                <w:color w:val="auto"/>
                <w:sz w:val="24"/>
                <w:szCs w:val="24"/>
                <w:highlight w:val="none"/>
              </w:rPr>
            </w:pPr>
          </w:p>
        </w:tc>
      </w:tr>
      <w:tr w14:paraId="7A676DCB">
        <w:tblPrEx>
          <w:tblCellMar>
            <w:top w:w="0" w:type="dxa"/>
            <w:left w:w="108" w:type="dxa"/>
            <w:bottom w:w="0" w:type="dxa"/>
            <w:right w:w="108" w:type="dxa"/>
          </w:tblCellMar>
        </w:tblPrEx>
        <w:trPr>
          <w:trHeight w:val="826" w:hRule="atLeast"/>
          <w:jc w:val="center"/>
        </w:trPr>
        <w:tc>
          <w:tcPr>
            <w:tcW w:w="813" w:type="dxa"/>
            <w:tcBorders>
              <w:top w:val="single" w:color="000000" w:sz="4" w:space="0"/>
              <w:left w:val="single" w:color="000000" w:sz="4" w:space="0"/>
              <w:bottom w:val="single" w:color="000000" w:sz="4" w:space="0"/>
              <w:right w:val="single" w:color="000000" w:sz="4" w:space="0"/>
            </w:tcBorders>
            <w:noWrap w:val="0"/>
            <w:vAlign w:val="center"/>
          </w:tcPr>
          <w:p w14:paraId="45869DD2">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16</w:t>
            </w:r>
          </w:p>
        </w:tc>
        <w:tc>
          <w:tcPr>
            <w:tcW w:w="1664" w:type="dxa"/>
            <w:vMerge w:val="continue"/>
            <w:tcBorders>
              <w:top w:val="single" w:color="000000" w:sz="4" w:space="0"/>
              <w:left w:val="single" w:color="000000" w:sz="4" w:space="0"/>
              <w:bottom w:val="single" w:color="000000" w:sz="4" w:space="0"/>
              <w:right w:val="single" w:color="000000" w:sz="4" w:space="0"/>
            </w:tcBorders>
            <w:noWrap w:val="0"/>
            <w:vAlign w:val="center"/>
          </w:tcPr>
          <w:p w14:paraId="00D11CE1">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p>
        </w:tc>
        <w:tc>
          <w:tcPr>
            <w:tcW w:w="5313" w:type="dxa"/>
            <w:tcBorders>
              <w:top w:val="single" w:color="000000" w:sz="4" w:space="0"/>
              <w:left w:val="single" w:color="000000" w:sz="4" w:space="0"/>
              <w:bottom w:val="single" w:color="000000" w:sz="4" w:space="0"/>
              <w:right w:val="single" w:color="000000" w:sz="4" w:space="0"/>
            </w:tcBorders>
            <w:noWrap w:val="0"/>
            <w:vAlign w:val="center"/>
          </w:tcPr>
          <w:p w14:paraId="75EA34C1">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设置自助服务区的，自助终端是否与</w:t>
            </w:r>
            <w:r>
              <w:rPr>
                <w:rFonts w:hint="eastAsia" w:ascii="宋体" w:hAnsi="宋体" w:eastAsia="仿宋_GB2312" w:cs="仿宋_GB2312"/>
                <w:color w:val="auto"/>
                <w:sz w:val="24"/>
                <w:szCs w:val="24"/>
                <w:highlight w:val="none"/>
                <w:lang w:eastAsia="zh-CN"/>
              </w:rPr>
              <w:t>江西</w:t>
            </w:r>
            <w:r>
              <w:rPr>
                <w:rFonts w:hint="eastAsia" w:ascii="宋体" w:hAnsi="宋体" w:eastAsia="仿宋_GB2312" w:cs="仿宋_GB2312"/>
                <w:color w:val="auto"/>
                <w:sz w:val="24"/>
                <w:szCs w:val="24"/>
                <w:highlight w:val="none"/>
              </w:rPr>
              <w:t>人社一体化系统</w:t>
            </w:r>
            <w:r>
              <w:rPr>
                <w:rFonts w:hint="eastAsia" w:ascii="宋体" w:hAnsi="宋体" w:eastAsia="仿宋_GB2312" w:cs="仿宋_GB2312"/>
                <w:color w:val="auto"/>
                <w:sz w:val="24"/>
                <w:szCs w:val="24"/>
                <w:highlight w:val="none"/>
                <w:lang w:eastAsia="zh-CN"/>
              </w:rPr>
              <w:t>、赣服通等</w:t>
            </w:r>
            <w:r>
              <w:rPr>
                <w:rFonts w:hint="eastAsia" w:ascii="宋体" w:hAnsi="宋体" w:eastAsia="仿宋_GB2312" w:cs="仿宋_GB2312"/>
                <w:color w:val="auto"/>
                <w:sz w:val="24"/>
                <w:szCs w:val="24"/>
                <w:highlight w:val="none"/>
              </w:rPr>
              <w:t>实时对接实现业务经办</w:t>
            </w: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1A243DFB">
            <w:pPr>
              <w:keepNext w:val="0"/>
              <w:keepLines w:val="0"/>
              <w:pageBreakBefore w:val="0"/>
              <w:wordWrap/>
              <w:overflowPunct/>
              <w:topLinePunct w:val="0"/>
              <w:bidi w:val="0"/>
              <w:spacing w:line="560" w:lineRule="exact"/>
              <w:rPr>
                <w:rFonts w:hint="eastAsia" w:ascii="宋体" w:hAnsi="宋体" w:eastAsia="仿宋_GB2312" w:cs="仿宋_GB2312"/>
                <w:color w:val="auto"/>
                <w:sz w:val="24"/>
                <w:szCs w:val="24"/>
                <w:highlight w:val="none"/>
              </w:rPr>
            </w:pPr>
          </w:p>
        </w:tc>
      </w:tr>
      <w:tr w14:paraId="14699502">
        <w:tblPrEx>
          <w:tblCellMar>
            <w:top w:w="0" w:type="dxa"/>
            <w:left w:w="108" w:type="dxa"/>
            <w:bottom w:w="0" w:type="dxa"/>
            <w:right w:w="108" w:type="dxa"/>
          </w:tblCellMar>
        </w:tblPrEx>
        <w:trPr>
          <w:trHeight w:val="890" w:hRule="atLeast"/>
          <w:jc w:val="center"/>
        </w:trPr>
        <w:tc>
          <w:tcPr>
            <w:tcW w:w="813" w:type="dxa"/>
            <w:tcBorders>
              <w:top w:val="single" w:color="000000" w:sz="4" w:space="0"/>
              <w:left w:val="single" w:color="000000" w:sz="4" w:space="0"/>
              <w:bottom w:val="single" w:color="000000" w:sz="4" w:space="0"/>
              <w:right w:val="single" w:color="000000" w:sz="4" w:space="0"/>
            </w:tcBorders>
            <w:noWrap w:val="0"/>
            <w:vAlign w:val="center"/>
          </w:tcPr>
          <w:p w14:paraId="37B63F0A">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17</w:t>
            </w:r>
          </w:p>
        </w:tc>
        <w:tc>
          <w:tcPr>
            <w:tcW w:w="1664" w:type="dxa"/>
            <w:vMerge w:val="restart"/>
            <w:tcBorders>
              <w:top w:val="single" w:color="000000" w:sz="4" w:space="0"/>
              <w:left w:val="single" w:color="000000" w:sz="4" w:space="0"/>
              <w:bottom w:val="single" w:color="000000" w:sz="4" w:space="0"/>
              <w:right w:val="single" w:color="000000" w:sz="4" w:space="0"/>
            </w:tcBorders>
            <w:noWrap w:val="0"/>
            <w:vAlign w:val="center"/>
          </w:tcPr>
          <w:p w14:paraId="4DD6E0BF">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岗位要求</w:t>
            </w:r>
          </w:p>
        </w:tc>
        <w:tc>
          <w:tcPr>
            <w:tcW w:w="5313" w:type="dxa"/>
            <w:tcBorders>
              <w:top w:val="single" w:color="000000" w:sz="4" w:space="0"/>
              <w:left w:val="single" w:color="000000" w:sz="4" w:space="0"/>
              <w:bottom w:val="single" w:color="000000" w:sz="4" w:space="0"/>
              <w:right w:val="single" w:color="000000" w:sz="4" w:space="0"/>
            </w:tcBorders>
            <w:noWrap w:val="0"/>
            <w:vAlign w:val="center"/>
          </w:tcPr>
          <w:p w14:paraId="01D3AA2B">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合作网点工作人员是否设立管理岗、导办咨询岗、经办岗、资料岗</w:t>
            </w: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180BF041">
            <w:pPr>
              <w:keepNext w:val="0"/>
              <w:keepLines w:val="0"/>
              <w:pageBreakBefore w:val="0"/>
              <w:wordWrap/>
              <w:overflowPunct/>
              <w:topLinePunct w:val="0"/>
              <w:bidi w:val="0"/>
              <w:spacing w:line="560" w:lineRule="exact"/>
              <w:rPr>
                <w:rFonts w:hint="eastAsia" w:ascii="宋体" w:hAnsi="宋体" w:eastAsia="仿宋_GB2312" w:cs="仿宋_GB2312"/>
                <w:color w:val="auto"/>
                <w:sz w:val="24"/>
                <w:szCs w:val="24"/>
                <w:highlight w:val="none"/>
              </w:rPr>
            </w:pPr>
          </w:p>
        </w:tc>
      </w:tr>
      <w:tr w14:paraId="101C2D61">
        <w:tblPrEx>
          <w:tblCellMar>
            <w:top w:w="0" w:type="dxa"/>
            <w:left w:w="108" w:type="dxa"/>
            <w:bottom w:w="0" w:type="dxa"/>
            <w:right w:w="108" w:type="dxa"/>
          </w:tblCellMar>
        </w:tblPrEx>
        <w:trPr>
          <w:trHeight w:val="497" w:hRule="atLeast"/>
          <w:jc w:val="center"/>
        </w:trPr>
        <w:tc>
          <w:tcPr>
            <w:tcW w:w="813" w:type="dxa"/>
            <w:tcBorders>
              <w:top w:val="single" w:color="000000" w:sz="4" w:space="0"/>
              <w:left w:val="single" w:color="000000" w:sz="4" w:space="0"/>
              <w:bottom w:val="single" w:color="000000" w:sz="4" w:space="0"/>
              <w:right w:val="single" w:color="000000" w:sz="4" w:space="0"/>
            </w:tcBorders>
            <w:noWrap w:val="0"/>
            <w:vAlign w:val="center"/>
          </w:tcPr>
          <w:p w14:paraId="5A7D0896">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18</w:t>
            </w:r>
          </w:p>
        </w:tc>
        <w:tc>
          <w:tcPr>
            <w:tcW w:w="1664" w:type="dxa"/>
            <w:vMerge w:val="continue"/>
            <w:tcBorders>
              <w:top w:val="single" w:color="000000" w:sz="4" w:space="0"/>
              <w:left w:val="single" w:color="000000" w:sz="4" w:space="0"/>
              <w:bottom w:val="single" w:color="000000" w:sz="4" w:space="0"/>
              <w:right w:val="single" w:color="000000" w:sz="4" w:space="0"/>
            </w:tcBorders>
            <w:noWrap w:val="0"/>
            <w:vAlign w:val="center"/>
          </w:tcPr>
          <w:p w14:paraId="080EDC14">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p>
        </w:tc>
        <w:tc>
          <w:tcPr>
            <w:tcW w:w="5313" w:type="dxa"/>
            <w:tcBorders>
              <w:top w:val="single" w:color="000000" w:sz="4" w:space="0"/>
              <w:left w:val="single" w:color="000000" w:sz="4" w:space="0"/>
              <w:bottom w:val="single" w:color="000000" w:sz="4" w:space="0"/>
              <w:right w:val="single" w:color="000000" w:sz="4" w:space="0"/>
            </w:tcBorders>
            <w:noWrap w:val="0"/>
            <w:vAlign w:val="center"/>
          </w:tcPr>
          <w:p w14:paraId="55864C07">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有条件的网点是否实现“专人专岗”</w:t>
            </w: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26DE4C2C">
            <w:pPr>
              <w:keepNext w:val="0"/>
              <w:keepLines w:val="0"/>
              <w:pageBreakBefore w:val="0"/>
              <w:wordWrap/>
              <w:overflowPunct/>
              <w:topLinePunct w:val="0"/>
              <w:bidi w:val="0"/>
              <w:spacing w:line="560" w:lineRule="exact"/>
              <w:rPr>
                <w:rFonts w:hint="eastAsia" w:ascii="宋体" w:hAnsi="宋体" w:eastAsia="仿宋_GB2312" w:cs="仿宋_GB2312"/>
                <w:color w:val="auto"/>
                <w:sz w:val="24"/>
                <w:szCs w:val="24"/>
                <w:highlight w:val="none"/>
              </w:rPr>
            </w:pPr>
          </w:p>
        </w:tc>
      </w:tr>
      <w:tr w14:paraId="7677F273">
        <w:tblPrEx>
          <w:tblCellMar>
            <w:top w:w="0" w:type="dxa"/>
            <w:left w:w="108" w:type="dxa"/>
            <w:bottom w:w="0" w:type="dxa"/>
            <w:right w:w="108" w:type="dxa"/>
          </w:tblCellMar>
        </w:tblPrEx>
        <w:trPr>
          <w:trHeight w:val="1142" w:hRule="atLeast"/>
          <w:jc w:val="center"/>
        </w:trPr>
        <w:tc>
          <w:tcPr>
            <w:tcW w:w="813" w:type="dxa"/>
            <w:tcBorders>
              <w:top w:val="single" w:color="000000" w:sz="4" w:space="0"/>
              <w:left w:val="single" w:color="000000" w:sz="4" w:space="0"/>
              <w:bottom w:val="single" w:color="000000" w:sz="4" w:space="0"/>
              <w:right w:val="single" w:color="000000" w:sz="4" w:space="0"/>
            </w:tcBorders>
            <w:noWrap w:val="0"/>
            <w:vAlign w:val="center"/>
          </w:tcPr>
          <w:p w14:paraId="2305A5B5">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19</w:t>
            </w:r>
          </w:p>
        </w:tc>
        <w:tc>
          <w:tcPr>
            <w:tcW w:w="1664" w:type="dxa"/>
            <w:tcBorders>
              <w:top w:val="single" w:color="000000" w:sz="4" w:space="0"/>
              <w:left w:val="single" w:color="000000" w:sz="4" w:space="0"/>
              <w:bottom w:val="single" w:color="000000" w:sz="4" w:space="0"/>
              <w:right w:val="single" w:color="000000" w:sz="4" w:space="0"/>
            </w:tcBorders>
            <w:noWrap w:val="0"/>
            <w:vAlign w:val="center"/>
          </w:tcPr>
          <w:p w14:paraId="5FA5B30C">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经办流程</w:t>
            </w:r>
          </w:p>
        </w:tc>
        <w:tc>
          <w:tcPr>
            <w:tcW w:w="5313" w:type="dxa"/>
            <w:tcBorders>
              <w:top w:val="single" w:color="000000" w:sz="4" w:space="0"/>
              <w:left w:val="single" w:color="000000" w:sz="4" w:space="0"/>
              <w:bottom w:val="single" w:color="000000" w:sz="4" w:space="0"/>
              <w:right w:val="single" w:color="000000" w:sz="4" w:space="0"/>
            </w:tcBorders>
            <w:noWrap w:val="0"/>
            <w:vAlign w:val="center"/>
          </w:tcPr>
          <w:p w14:paraId="3056F2A4">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合作银行是否按照社会保险法律法规、社会保险业务经办规程和系统操作手册，在规定时限内规范经办社保业务</w:t>
            </w: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3D1734DF">
            <w:pPr>
              <w:keepNext w:val="0"/>
              <w:keepLines w:val="0"/>
              <w:pageBreakBefore w:val="0"/>
              <w:wordWrap/>
              <w:overflowPunct/>
              <w:topLinePunct w:val="0"/>
              <w:bidi w:val="0"/>
              <w:spacing w:line="560" w:lineRule="exact"/>
              <w:rPr>
                <w:rFonts w:hint="eastAsia" w:ascii="宋体" w:hAnsi="宋体" w:eastAsia="仿宋_GB2312" w:cs="仿宋_GB2312"/>
                <w:color w:val="auto"/>
                <w:sz w:val="24"/>
                <w:szCs w:val="24"/>
                <w:highlight w:val="none"/>
              </w:rPr>
            </w:pPr>
          </w:p>
        </w:tc>
      </w:tr>
      <w:tr w14:paraId="3ABDA1B6">
        <w:tblPrEx>
          <w:tblCellMar>
            <w:top w:w="0" w:type="dxa"/>
            <w:left w:w="108" w:type="dxa"/>
            <w:bottom w:w="0" w:type="dxa"/>
            <w:right w:w="108" w:type="dxa"/>
          </w:tblCellMar>
        </w:tblPrEx>
        <w:trPr>
          <w:trHeight w:val="1135" w:hRule="atLeast"/>
          <w:jc w:val="center"/>
        </w:trPr>
        <w:tc>
          <w:tcPr>
            <w:tcW w:w="813" w:type="dxa"/>
            <w:tcBorders>
              <w:top w:val="single" w:color="000000" w:sz="4" w:space="0"/>
              <w:left w:val="single" w:color="000000" w:sz="4" w:space="0"/>
              <w:bottom w:val="single" w:color="000000" w:sz="4" w:space="0"/>
              <w:right w:val="single" w:color="000000" w:sz="4" w:space="0"/>
            </w:tcBorders>
            <w:noWrap w:val="0"/>
            <w:vAlign w:val="center"/>
          </w:tcPr>
          <w:p w14:paraId="0668E0FA">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20</w:t>
            </w:r>
          </w:p>
        </w:tc>
        <w:tc>
          <w:tcPr>
            <w:tcW w:w="1664" w:type="dxa"/>
            <w:tcBorders>
              <w:top w:val="single" w:color="000000" w:sz="4" w:space="0"/>
              <w:left w:val="single" w:color="000000" w:sz="4" w:space="0"/>
              <w:bottom w:val="single" w:color="000000" w:sz="4" w:space="0"/>
              <w:right w:val="single" w:color="000000" w:sz="4" w:space="0"/>
            </w:tcBorders>
            <w:noWrap w:val="0"/>
            <w:vAlign w:val="center"/>
          </w:tcPr>
          <w:p w14:paraId="495BFABD">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权限管理</w:t>
            </w:r>
          </w:p>
        </w:tc>
        <w:tc>
          <w:tcPr>
            <w:tcW w:w="5313" w:type="dxa"/>
            <w:tcBorders>
              <w:top w:val="single" w:color="000000" w:sz="4" w:space="0"/>
              <w:left w:val="single" w:color="000000" w:sz="4" w:space="0"/>
              <w:bottom w:val="single" w:color="000000" w:sz="4" w:space="0"/>
              <w:right w:val="single" w:color="000000" w:sz="4" w:space="0"/>
            </w:tcBorders>
            <w:noWrap w:val="0"/>
            <w:vAlign w:val="center"/>
          </w:tcPr>
          <w:p w14:paraId="2FF12390">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合作银行是否根据市级社保经办权限管理要求和社保业务事项清单，做好工作人员岗位权限管理</w:t>
            </w: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2E2F7FBA">
            <w:pPr>
              <w:keepNext w:val="0"/>
              <w:keepLines w:val="0"/>
              <w:pageBreakBefore w:val="0"/>
              <w:wordWrap/>
              <w:overflowPunct/>
              <w:topLinePunct w:val="0"/>
              <w:bidi w:val="0"/>
              <w:spacing w:line="560" w:lineRule="exact"/>
              <w:rPr>
                <w:rFonts w:hint="eastAsia" w:ascii="宋体" w:hAnsi="宋体" w:eastAsia="仿宋_GB2312" w:cs="仿宋_GB2312"/>
                <w:color w:val="auto"/>
                <w:sz w:val="24"/>
                <w:szCs w:val="24"/>
                <w:highlight w:val="none"/>
              </w:rPr>
            </w:pPr>
          </w:p>
        </w:tc>
      </w:tr>
      <w:tr w14:paraId="4E07CA99">
        <w:tblPrEx>
          <w:tblCellMar>
            <w:top w:w="0" w:type="dxa"/>
            <w:left w:w="108" w:type="dxa"/>
            <w:bottom w:w="0" w:type="dxa"/>
            <w:right w:w="108" w:type="dxa"/>
          </w:tblCellMar>
        </w:tblPrEx>
        <w:trPr>
          <w:trHeight w:val="911" w:hRule="atLeast"/>
          <w:jc w:val="center"/>
        </w:trPr>
        <w:tc>
          <w:tcPr>
            <w:tcW w:w="813" w:type="dxa"/>
            <w:tcBorders>
              <w:top w:val="single" w:color="000000" w:sz="4" w:space="0"/>
              <w:left w:val="single" w:color="000000" w:sz="4" w:space="0"/>
              <w:bottom w:val="single" w:color="000000" w:sz="4" w:space="0"/>
              <w:right w:val="single" w:color="000000" w:sz="4" w:space="0"/>
            </w:tcBorders>
            <w:noWrap w:val="0"/>
            <w:vAlign w:val="center"/>
          </w:tcPr>
          <w:p w14:paraId="133EF2C8">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21</w:t>
            </w:r>
          </w:p>
        </w:tc>
        <w:tc>
          <w:tcPr>
            <w:tcW w:w="1664" w:type="dxa"/>
            <w:tcBorders>
              <w:top w:val="single" w:color="000000" w:sz="4" w:space="0"/>
              <w:left w:val="single" w:color="000000" w:sz="4" w:space="0"/>
              <w:bottom w:val="single" w:color="000000" w:sz="4" w:space="0"/>
              <w:right w:val="single" w:color="000000" w:sz="4" w:space="0"/>
            </w:tcBorders>
            <w:noWrap w:val="0"/>
            <w:vAlign w:val="center"/>
          </w:tcPr>
          <w:p w14:paraId="1A155FDA">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业务材料管理</w:t>
            </w:r>
          </w:p>
        </w:tc>
        <w:tc>
          <w:tcPr>
            <w:tcW w:w="5313" w:type="dxa"/>
            <w:tcBorders>
              <w:top w:val="single" w:color="000000" w:sz="4" w:space="0"/>
              <w:left w:val="single" w:color="000000" w:sz="4" w:space="0"/>
              <w:bottom w:val="single" w:color="000000" w:sz="4" w:space="0"/>
              <w:right w:val="single" w:color="000000" w:sz="4" w:space="0"/>
            </w:tcBorders>
            <w:noWrap w:val="0"/>
            <w:vAlign w:val="center"/>
          </w:tcPr>
          <w:p w14:paraId="5D4D872B">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合作银行经办社保业务是否按档案管理要求做好业务材料整理、封装、移交和电子证照应用</w:t>
            </w: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6949F1EA">
            <w:pPr>
              <w:keepNext w:val="0"/>
              <w:keepLines w:val="0"/>
              <w:pageBreakBefore w:val="0"/>
              <w:wordWrap/>
              <w:overflowPunct/>
              <w:topLinePunct w:val="0"/>
              <w:bidi w:val="0"/>
              <w:spacing w:line="560" w:lineRule="exact"/>
              <w:rPr>
                <w:rFonts w:hint="eastAsia" w:ascii="宋体" w:hAnsi="宋体" w:eastAsia="仿宋_GB2312" w:cs="仿宋_GB2312"/>
                <w:color w:val="auto"/>
                <w:sz w:val="24"/>
                <w:szCs w:val="24"/>
                <w:highlight w:val="none"/>
              </w:rPr>
            </w:pPr>
          </w:p>
        </w:tc>
      </w:tr>
      <w:tr w14:paraId="56866618">
        <w:tblPrEx>
          <w:tblCellMar>
            <w:top w:w="0" w:type="dxa"/>
            <w:left w:w="108" w:type="dxa"/>
            <w:bottom w:w="0" w:type="dxa"/>
            <w:right w:w="108" w:type="dxa"/>
          </w:tblCellMar>
        </w:tblPrEx>
        <w:trPr>
          <w:trHeight w:val="607" w:hRule="atLeast"/>
          <w:jc w:val="center"/>
        </w:trPr>
        <w:tc>
          <w:tcPr>
            <w:tcW w:w="813" w:type="dxa"/>
            <w:tcBorders>
              <w:top w:val="single" w:color="000000" w:sz="4" w:space="0"/>
              <w:left w:val="single" w:color="000000" w:sz="4" w:space="0"/>
              <w:bottom w:val="single" w:color="000000" w:sz="4" w:space="0"/>
              <w:right w:val="single" w:color="000000" w:sz="4" w:space="0"/>
            </w:tcBorders>
            <w:noWrap w:val="0"/>
            <w:vAlign w:val="center"/>
          </w:tcPr>
          <w:p w14:paraId="29BC6785">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22</w:t>
            </w:r>
          </w:p>
        </w:tc>
        <w:tc>
          <w:tcPr>
            <w:tcW w:w="1664" w:type="dxa"/>
            <w:vMerge w:val="restart"/>
            <w:tcBorders>
              <w:top w:val="single" w:color="000000" w:sz="4" w:space="0"/>
              <w:left w:val="single" w:color="000000" w:sz="4" w:space="0"/>
              <w:bottom w:val="single" w:color="000000" w:sz="4" w:space="0"/>
              <w:right w:val="single" w:color="000000" w:sz="4" w:space="0"/>
            </w:tcBorders>
            <w:noWrap w:val="0"/>
            <w:vAlign w:val="center"/>
          </w:tcPr>
          <w:p w14:paraId="225E28C6">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安全要求</w:t>
            </w:r>
          </w:p>
        </w:tc>
        <w:tc>
          <w:tcPr>
            <w:tcW w:w="5313" w:type="dxa"/>
            <w:tcBorders>
              <w:top w:val="single" w:color="000000" w:sz="4" w:space="0"/>
              <w:left w:val="single" w:color="000000" w:sz="4" w:space="0"/>
              <w:bottom w:val="single" w:color="000000" w:sz="4" w:space="0"/>
              <w:right w:val="single" w:color="000000" w:sz="4" w:space="0"/>
            </w:tcBorders>
            <w:noWrap w:val="0"/>
            <w:vAlign w:val="center"/>
          </w:tcPr>
          <w:p w14:paraId="30F4FBD2">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合作银行经办社保业务是否符合网络安全要求。</w:t>
            </w: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187A4F1C">
            <w:pPr>
              <w:keepNext w:val="0"/>
              <w:keepLines w:val="0"/>
              <w:pageBreakBefore w:val="0"/>
              <w:wordWrap/>
              <w:overflowPunct/>
              <w:topLinePunct w:val="0"/>
              <w:bidi w:val="0"/>
              <w:spacing w:line="560" w:lineRule="exact"/>
              <w:rPr>
                <w:rFonts w:hint="eastAsia" w:ascii="宋体" w:hAnsi="宋体" w:eastAsia="仿宋_GB2312" w:cs="仿宋_GB2312"/>
                <w:color w:val="auto"/>
                <w:sz w:val="24"/>
                <w:szCs w:val="24"/>
                <w:highlight w:val="none"/>
              </w:rPr>
            </w:pPr>
          </w:p>
        </w:tc>
      </w:tr>
      <w:tr w14:paraId="4A22C6D3">
        <w:tblPrEx>
          <w:tblCellMar>
            <w:top w:w="0" w:type="dxa"/>
            <w:left w:w="108" w:type="dxa"/>
            <w:bottom w:w="0" w:type="dxa"/>
            <w:right w:w="108" w:type="dxa"/>
          </w:tblCellMar>
        </w:tblPrEx>
        <w:trPr>
          <w:trHeight w:val="559" w:hRule="atLeast"/>
          <w:jc w:val="center"/>
        </w:trPr>
        <w:tc>
          <w:tcPr>
            <w:tcW w:w="813" w:type="dxa"/>
            <w:tcBorders>
              <w:top w:val="single" w:color="000000" w:sz="4" w:space="0"/>
              <w:left w:val="single" w:color="000000" w:sz="4" w:space="0"/>
              <w:bottom w:val="single" w:color="000000" w:sz="4" w:space="0"/>
              <w:right w:val="single" w:color="000000" w:sz="4" w:space="0"/>
            </w:tcBorders>
            <w:noWrap w:val="0"/>
            <w:vAlign w:val="center"/>
          </w:tcPr>
          <w:p w14:paraId="0612FD55">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23</w:t>
            </w:r>
          </w:p>
        </w:tc>
        <w:tc>
          <w:tcPr>
            <w:tcW w:w="1664" w:type="dxa"/>
            <w:vMerge w:val="continue"/>
            <w:tcBorders>
              <w:top w:val="single" w:color="000000" w:sz="4" w:space="0"/>
              <w:left w:val="single" w:color="000000" w:sz="4" w:space="0"/>
              <w:bottom w:val="single" w:color="000000" w:sz="4" w:space="0"/>
              <w:right w:val="single" w:color="000000" w:sz="4" w:space="0"/>
            </w:tcBorders>
            <w:noWrap w:val="0"/>
            <w:vAlign w:val="center"/>
          </w:tcPr>
          <w:p w14:paraId="614FAED1">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p>
        </w:tc>
        <w:tc>
          <w:tcPr>
            <w:tcW w:w="5313" w:type="dxa"/>
            <w:tcBorders>
              <w:top w:val="single" w:color="000000" w:sz="4" w:space="0"/>
              <w:left w:val="single" w:color="000000" w:sz="4" w:space="0"/>
              <w:bottom w:val="single" w:color="000000" w:sz="4" w:space="0"/>
              <w:right w:val="single" w:color="000000" w:sz="4" w:space="0"/>
            </w:tcBorders>
            <w:noWrap w:val="0"/>
            <w:vAlign w:val="center"/>
          </w:tcPr>
          <w:p w14:paraId="1413C5B3">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合作银行经办社保业务是否符合数据安全要求。</w:t>
            </w: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56A9ADE0">
            <w:pPr>
              <w:keepNext w:val="0"/>
              <w:keepLines w:val="0"/>
              <w:pageBreakBefore w:val="0"/>
              <w:wordWrap/>
              <w:overflowPunct/>
              <w:topLinePunct w:val="0"/>
              <w:bidi w:val="0"/>
              <w:spacing w:line="560" w:lineRule="exact"/>
              <w:rPr>
                <w:rFonts w:hint="eastAsia" w:ascii="宋体" w:hAnsi="宋体" w:eastAsia="仿宋_GB2312" w:cs="仿宋_GB2312"/>
                <w:color w:val="auto"/>
                <w:sz w:val="24"/>
                <w:szCs w:val="24"/>
                <w:highlight w:val="none"/>
              </w:rPr>
            </w:pPr>
          </w:p>
        </w:tc>
      </w:tr>
      <w:tr w14:paraId="3B9242A0">
        <w:tblPrEx>
          <w:tblCellMar>
            <w:top w:w="0" w:type="dxa"/>
            <w:left w:w="108" w:type="dxa"/>
            <w:bottom w:w="0" w:type="dxa"/>
            <w:right w:w="108" w:type="dxa"/>
          </w:tblCellMar>
        </w:tblPrEx>
        <w:trPr>
          <w:trHeight w:val="553" w:hRule="atLeast"/>
          <w:jc w:val="center"/>
        </w:trPr>
        <w:tc>
          <w:tcPr>
            <w:tcW w:w="813" w:type="dxa"/>
            <w:tcBorders>
              <w:top w:val="single" w:color="000000" w:sz="4" w:space="0"/>
              <w:left w:val="single" w:color="000000" w:sz="4" w:space="0"/>
              <w:bottom w:val="single" w:color="000000" w:sz="4" w:space="0"/>
              <w:right w:val="single" w:color="000000" w:sz="4" w:space="0"/>
            </w:tcBorders>
            <w:noWrap w:val="0"/>
            <w:vAlign w:val="center"/>
          </w:tcPr>
          <w:p w14:paraId="60A1A5B4">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24</w:t>
            </w:r>
          </w:p>
        </w:tc>
        <w:tc>
          <w:tcPr>
            <w:tcW w:w="1664" w:type="dxa"/>
            <w:vMerge w:val="continue"/>
            <w:tcBorders>
              <w:top w:val="single" w:color="000000" w:sz="4" w:space="0"/>
              <w:left w:val="single" w:color="000000" w:sz="4" w:space="0"/>
              <w:bottom w:val="single" w:color="000000" w:sz="4" w:space="0"/>
              <w:right w:val="single" w:color="000000" w:sz="4" w:space="0"/>
            </w:tcBorders>
            <w:noWrap w:val="0"/>
            <w:vAlign w:val="center"/>
          </w:tcPr>
          <w:p w14:paraId="7B46D625">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p>
        </w:tc>
        <w:tc>
          <w:tcPr>
            <w:tcW w:w="5313" w:type="dxa"/>
            <w:tcBorders>
              <w:top w:val="single" w:color="000000" w:sz="4" w:space="0"/>
              <w:left w:val="single" w:color="000000" w:sz="4" w:space="0"/>
              <w:bottom w:val="single" w:color="000000" w:sz="4" w:space="0"/>
              <w:right w:val="single" w:color="000000" w:sz="4" w:space="0"/>
            </w:tcBorders>
            <w:noWrap w:val="0"/>
            <w:vAlign w:val="center"/>
          </w:tcPr>
          <w:p w14:paraId="1BF135E2">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合作银行经办社保业务是否符合操作安全要求</w:t>
            </w: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362E1CDF">
            <w:pPr>
              <w:keepNext w:val="0"/>
              <w:keepLines w:val="0"/>
              <w:pageBreakBefore w:val="0"/>
              <w:wordWrap/>
              <w:overflowPunct/>
              <w:topLinePunct w:val="0"/>
              <w:bidi w:val="0"/>
              <w:spacing w:line="560" w:lineRule="exact"/>
              <w:rPr>
                <w:rFonts w:hint="eastAsia" w:ascii="宋体" w:hAnsi="宋体" w:eastAsia="仿宋_GB2312" w:cs="仿宋_GB2312"/>
                <w:color w:val="auto"/>
                <w:sz w:val="24"/>
                <w:szCs w:val="24"/>
                <w:highlight w:val="none"/>
              </w:rPr>
            </w:pPr>
          </w:p>
        </w:tc>
      </w:tr>
      <w:tr w14:paraId="1639C80A">
        <w:tblPrEx>
          <w:tblCellMar>
            <w:top w:w="0" w:type="dxa"/>
            <w:left w:w="108" w:type="dxa"/>
            <w:bottom w:w="0" w:type="dxa"/>
            <w:right w:w="108" w:type="dxa"/>
          </w:tblCellMar>
        </w:tblPrEx>
        <w:trPr>
          <w:trHeight w:val="874" w:hRule="atLeast"/>
          <w:jc w:val="center"/>
        </w:trPr>
        <w:tc>
          <w:tcPr>
            <w:tcW w:w="813" w:type="dxa"/>
            <w:tcBorders>
              <w:top w:val="single" w:color="000000" w:sz="4" w:space="0"/>
              <w:left w:val="single" w:color="000000" w:sz="4" w:space="0"/>
              <w:bottom w:val="single" w:color="000000" w:sz="4" w:space="0"/>
              <w:right w:val="single" w:color="000000" w:sz="4" w:space="0"/>
            </w:tcBorders>
            <w:noWrap w:val="0"/>
            <w:vAlign w:val="center"/>
          </w:tcPr>
          <w:p w14:paraId="5D0BDAFD">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25</w:t>
            </w:r>
          </w:p>
        </w:tc>
        <w:tc>
          <w:tcPr>
            <w:tcW w:w="1664" w:type="dxa"/>
            <w:vMerge w:val="continue"/>
            <w:tcBorders>
              <w:top w:val="single" w:color="000000" w:sz="4" w:space="0"/>
              <w:left w:val="single" w:color="000000" w:sz="4" w:space="0"/>
              <w:bottom w:val="single" w:color="000000" w:sz="4" w:space="0"/>
              <w:right w:val="single" w:color="000000" w:sz="4" w:space="0"/>
            </w:tcBorders>
            <w:noWrap w:val="0"/>
            <w:vAlign w:val="center"/>
          </w:tcPr>
          <w:p w14:paraId="0BAA07C6">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p>
        </w:tc>
        <w:tc>
          <w:tcPr>
            <w:tcW w:w="5313" w:type="dxa"/>
            <w:tcBorders>
              <w:top w:val="single" w:color="000000" w:sz="4" w:space="0"/>
              <w:left w:val="single" w:color="000000" w:sz="4" w:space="0"/>
              <w:bottom w:val="single" w:color="000000" w:sz="4" w:space="0"/>
              <w:right w:val="single" w:color="000000" w:sz="4" w:space="0"/>
            </w:tcBorders>
            <w:noWrap w:val="0"/>
            <w:vAlign w:val="center"/>
          </w:tcPr>
          <w:p w14:paraId="7770CAE8">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合作银行经办社保业务是否符合设备设施安全要求</w:t>
            </w: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7A64C08C">
            <w:pPr>
              <w:keepNext w:val="0"/>
              <w:keepLines w:val="0"/>
              <w:pageBreakBefore w:val="0"/>
              <w:wordWrap/>
              <w:overflowPunct/>
              <w:topLinePunct w:val="0"/>
              <w:bidi w:val="0"/>
              <w:spacing w:line="560" w:lineRule="exact"/>
              <w:rPr>
                <w:rFonts w:hint="eastAsia" w:ascii="宋体" w:hAnsi="宋体" w:eastAsia="仿宋_GB2312" w:cs="仿宋_GB2312"/>
                <w:color w:val="auto"/>
                <w:sz w:val="24"/>
                <w:szCs w:val="24"/>
                <w:highlight w:val="none"/>
              </w:rPr>
            </w:pPr>
          </w:p>
        </w:tc>
      </w:tr>
      <w:tr w14:paraId="17878E7C">
        <w:tblPrEx>
          <w:tblCellMar>
            <w:top w:w="0" w:type="dxa"/>
            <w:left w:w="108" w:type="dxa"/>
            <w:bottom w:w="0" w:type="dxa"/>
            <w:right w:w="108" w:type="dxa"/>
          </w:tblCellMar>
        </w:tblPrEx>
        <w:trPr>
          <w:trHeight w:val="1163" w:hRule="atLeast"/>
          <w:jc w:val="center"/>
        </w:trPr>
        <w:tc>
          <w:tcPr>
            <w:tcW w:w="813" w:type="dxa"/>
            <w:tcBorders>
              <w:top w:val="single" w:color="000000" w:sz="4" w:space="0"/>
              <w:left w:val="single" w:color="000000" w:sz="4" w:space="0"/>
              <w:bottom w:val="single" w:color="000000" w:sz="4" w:space="0"/>
              <w:right w:val="single" w:color="000000" w:sz="4" w:space="0"/>
            </w:tcBorders>
            <w:noWrap w:val="0"/>
            <w:vAlign w:val="center"/>
          </w:tcPr>
          <w:p w14:paraId="08B32E76">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26</w:t>
            </w:r>
          </w:p>
        </w:tc>
        <w:tc>
          <w:tcPr>
            <w:tcW w:w="1664" w:type="dxa"/>
            <w:tcBorders>
              <w:top w:val="single" w:color="000000" w:sz="4" w:space="0"/>
              <w:left w:val="single" w:color="000000" w:sz="4" w:space="0"/>
              <w:bottom w:val="single" w:color="000000" w:sz="4" w:space="0"/>
              <w:right w:val="single" w:color="000000" w:sz="4" w:space="0"/>
            </w:tcBorders>
            <w:noWrap w:val="0"/>
            <w:vAlign w:val="center"/>
          </w:tcPr>
          <w:p w14:paraId="0F0C2E39">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人员培训</w:t>
            </w:r>
          </w:p>
        </w:tc>
        <w:tc>
          <w:tcPr>
            <w:tcW w:w="5313" w:type="dxa"/>
            <w:tcBorders>
              <w:top w:val="single" w:color="000000" w:sz="4" w:space="0"/>
              <w:left w:val="single" w:color="000000" w:sz="4" w:space="0"/>
              <w:bottom w:val="single" w:color="000000" w:sz="4" w:space="0"/>
              <w:right w:val="single" w:color="000000" w:sz="4" w:space="0"/>
            </w:tcBorders>
            <w:noWrap w:val="0"/>
            <w:vAlign w:val="center"/>
          </w:tcPr>
          <w:p w14:paraId="124143F1">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合作银行是否按要求组织社会保险业务培训；合作网点工作人员是否通过社保业务培训考核合格后才能上岗</w:t>
            </w: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70C42A1F">
            <w:pPr>
              <w:keepNext w:val="0"/>
              <w:keepLines w:val="0"/>
              <w:pageBreakBefore w:val="0"/>
              <w:wordWrap/>
              <w:overflowPunct/>
              <w:topLinePunct w:val="0"/>
              <w:bidi w:val="0"/>
              <w:spacing w:line="560" w:lineRule="exact"/>
              <w:rPr>
                <w:rFonts w:hint="eastAsia" w:ascii="宋体" w:hAnsi="宋体" w:eastAsia="仿宋_GB2312" w:cs="仿宋_GB2312"/>
                <w:color w:val="auto"/>
                <w:sz w:val="24"/>
                <w:szCs w:val="24"/>
                <w:highlight w:val="none"/>
              </w:rPr>
            </w:pPr>
          </w:p>
        </w:tc>
      </w:tr>
      <w:tr w14:paraId="041359F7">
        <w:tblPrEx>
          <w:tblCellMar>
            <w:top w:w="0" w:type="dxa"/>
            <w:left w:w="108" w:type="dxa"/>
            <w:bottom w:w="0" w:type="dxa"/>
            <w:right w:w="108" w:type="dxa"/>
          </w:tblCellMar>
        </w:tblPrEx>
        <w:trPr>
          <w:trHeight w:val="852" w:hRule="atLeast"/>
          <w:jc w:val="center"/>
        </w:trPr>
        <w:tc>
          <w:tcPr>
            <w:tcW w:w="813" w:type="dxa"/>
            <w:tcBorders>
              <w:top w:val="single" w:color="000000" w:sz="4" w:space="0"/>
              <w:left w:val="single" w:color="000000" w:sz="4" w:space="0"/>
              <w:bottom w:val="single" w:color="000000" w:sz="4" w:space="0"/>
              <w:right w:val="single" w:color="000000" w:sz="4" w:space="0"/>
            </w:tcBorders>
            <w:noWrap w:val="0"/>
            <w:vAlign w:val="center"/>
          </w:tcPr>
          <w:p w14:paraId="12CE925D">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27</w:t>
            </w:r>
          </w:p>
        </w:tc>
        <w:tc>
          <w:tcPr>
            <w:tcW w:w="1664" w:type="dxa"/>
            <w:tcBorders>
              <w:top w:val="single" w:color="000000" w:sz="4" w:space="0"/>
              <w:left w:val="single" w:color="000000" w:sz="4" w:space="0"/>
              <w:bottom w:val="single" w:color="000000" w:sz="4" w:space="0"/>
              <w:right w:val="single" w:color="000000" w:sz="4" w:space="0"/>
            </w:tcBorders>
            <w:noWrap w:val="0"/>
            <w:vAlign w:val="center"/>
          </w:tcPr>
          <w:p w14:paraId="51919E61">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应急处理</w:t>
            </w:r>
          </w:p>
        </w:tc>
        <w:tc>
          <w:tcPr>
            <w:tcW w:w="5313" w:type="dxa"/>
            <w:tcBorders>
              <w:top w:val="single" w:color="000000" w:sz="4" w:space="0"/>
              <w:left w:val="single" w:color="000000" w:sz="4" w:space="0"/>
              <w:bottom w:val="single" w:color="000000" w:sz="4" w:space="0"/>
              <w:right w:val="single" w:color="000000" w:sz="4" w:space="0"/>
            </w:tcBorders>
            <w:noWrap w:val="0"/>
            <w:vAlign w:val="center"/>
          </w:tcPr>
          <w:p w14:paraId="0BE30EED">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合作银行是否会同社保经办机构建立应急预案和重大事项报告制度</w:t>
            </w: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5BC68A0D">
            <w:pPr>
              <w:keepNext w:val="0"/>
              <w:keepLines w:val="0"/>
              <w:pageBreakBefore w:val="0"/>
              <w:wordWrap/>
              <w:overflowPunct/>
              <w:topLinePunct w:val="0"/>
              <w:bidi w:val="0"/>
              <w:spacing w:line="560" w:lineRule="exact"/>
              <w:rPr>
                <w:rFonts w:hint="eastAsia" w:ascii="宋体" w:hAnsi="宋体" w:eastAsia="仿宋_GB2312" w:cs="仿宋_GB2312"/>
                <w:color w:val="auto"/>
                <w:sz w:val="24"/>
                <w:szCs w:val="24"/>
                <w:highlight w:val="none"/>
              </w:rPr>
            </w:pPr>
          </w:p>
        </w:tc>
      </w:tr>
      <w:tr w14:paraId="3230D1FE">
        <w:tblPrEx>
          <w:tblCellMar>
            <w:top w:w="0" w:type="dxa"/>
            <w:left w:w="108" w:type="dxa"/>
            <w:bottom w:w="0" w:type="dxa"/>
            <w:right w:w="108" w:type="dxa"/>
          </w:tblCellMar>
        </w:tblPrEx>
        <w:trPr>
          <w:trHeight w:val="850" w:hRule="atLeast"/>
          <w:jc w:val="center"/>
        </w:trPr>
        <w:tc>
          <w:tcPr>
            <w:tcW w:w="813" w:type="dxa"/>
            <w:tcBorders>
              <w:top w:val="single" w:color="000000" w:sz="4" w:space="0"/>
              <w:left w:val="single" w:color="000000" w:sz="4" w:space="0"/>
              <w:bottom w:val="single" w:color="000000" w:sz="4" w:space="0"/>
              <w:right w:val="single" w:color="000000" w:sz="4" w:space="0"/>
            </w:tcBorders>
            <w:noWrap w:val="0"/>
            <w:vAlign w:val="center"/>
          </w:tcPr>
          <w:p w14:paraId="2EFD1895">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28</w:t>
            </w:r>
          </w:p>
        </w:tc>
        <w:tc>
          <w:tcPr>
            <w:tcW w:w="1664" w:type="dxa"/>
            <w:vMerge w:val="restart"/>
            <w:tcBorders>
              <w:top w:val="single" w:color="000000" w:sz="4" w:space="0"/>
              <w:left w:val="single" w:color="000000" w:sz="4" w:space="0"/>
              <w:right w:val="single" w:color="000000" w:sz="4" w:space="0"/>
            </w:tcBorders>
            <w:noWrap w:val="0"/>
            <w:vAlign w:val="center"/>
          </w:tcPr>
          <w:p w14:paraId="0E5F7D45">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检查评估</w:t>
            </w:r>
          </w:p>
        </w:tc>
        <w:tc>
          <w:tcPr>
            <w:tcW w:w="5313" w:type="dxa"/>
            <w:tcBorders>
              <w:top w:val="single" w:color="000000" w:sz="4" w:space="0"/>
              <w:left w:val="single" w:color="000000" w:sz="4" w:space="0"/>
              <w:bottom w:val="single" w:color="000000" w:sz="4" w:space="0"/>
              <w:right w:val="single" w:color="000000" w:sz="4" w:space="0"/>
            </w:tcBorders>
            <w:noWrap w:val="0"/>
            <w:vAlign w:val="center"/>
          </w:tcPr>
          <w:p w14:paraId="5B84763D">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合作银行是否建立业务投诉渠道，接受服务对象监督，并及时回复、回访</w:t>
            </w: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37BD141F">
            <w:pPr>
              <w:keepNext w:val="0"/>
              <w:keepLines w:val="0"/>
              <w:pageBreakBefore w:val="0"/>
              <w:wordWrap/>
              <w:overflowPunct/>
              <w:topLinePunct w:val="0"/>
              <w:bidi w:val="0"/>
              <w:spacing w:line="560" w:lineRule="exact"/>
              <w:rPr>
                <w:rFonts w:hint="eastAsia" w:ascii="宋体" w:hAnsi="宋体" w:eastAsia="仿宋_GB2312" w:cs="仿宋_GB2312"/>
                <w:color w:val="auto"/>
                <w:sz w:val="24"/>
                <w:szCs w:val="24"/>
                <w:highlight w:val="none"/>
              </w:rPr>
            </w:pPr>
          </w:p>
        </w:tc>
      </w:tr>
      <w:tr w14:paraId="47FCC2F7">
        <w:tblPrEx>
          <w:tblCellMar>
            <w:top w:w="0" w:type="dxa"/>
            <w:left w:w="108" w:type="dxa"/>
            <w:bottom w:w="0" w:type="dxa"/>
            <w:right w:w="108" w:type="dxa"/>
          </w:tblCellMar>
        </w:tblPrEx>
        <w:trPr>
          <w:trHeight w:val="1025" w:hRule="atLeast"/>
          <w:jc w:val="center"/>
        </w:trPr>
        <w:tc>
          <w:tcPr>
            <w:tcW w:w="813" w:type="dxa"/>
            <w:tcBorders>
              <w:top w:val="single" w:color="000000" w:sz="4" w:space="0"/>
              <w:left w:val="single" w:color="000000" w:sz="4" w:space="0"/>
              <w:bottom w:val="single" w:color="000000" w:sz="4" w:space="0"/>
              <w:right w:val="single" w:color="000000" w:sz="4" w:space="0"/>
            </w:tcBorders>
            <w:noWrap w:val="0"/>
            <w:vAlign w:val="center"/>
          </w:tcPr>
          <w:p w14:paraId="4299C50C">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29</w:t>
            </w:r>
          </w:p>
        </w:tc>
        <w:tc>
          <w:tcPr>
            <w:tcW w:w="1664" w:type="dxa"/>
            <w:vMerge w:val="continue"/>
            <w:tcBorders>
              <w:left w:val="single" w:color="000000" w:sz="4" w:space="0"/>
              <w:right w:val="single" w:color="000000" w:sz="4" w:space="0"/>
            </w:tcBorders>
            <w:noWrap w:val="0"/>
            <w:vAlign w:val="center"/>
          </w:tcPr>
          <w:p w14:paraId="614FC732">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p>
        </w:tc>
        <w:tc>
          <w:tcPr>
            <w:tcW w:w="5313" w:type="dxa"/>
            <w:tcBorders>
              <w:top w:val="single" w:color="000000" w:sz="4" w:space="0"/>
              <w:left w:val="single" w:color="000000" w:sz="4" w:space="0"/>
              <w:bottom w:val="single" w:color="000000" w:sz="4" w:space="0"/>
              <w:right w:val="single" w:color="000000" w:sz="4" w:space="0"/>
            </w:tcBorders>
            <w:noWrap w:val="0"/>
            <w:vAlign w:val="center"/>
          </w:tcPr>
          <w:p w14:paraId="10483920">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合作银行是否有引导服务对象对服务情况进行评价；评价是否覆盖银行经办的所有社保业务事项</w:t>
            </w: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7FF6B714">
            <w:pPr>
              <w:keepNext w:val="0"/>
              <w:keepLines w:val="0"/>
              <w:pageBreakBefore w:val="0"/>
              <w:wordWrap/>
              <w:overflowPunct/>
              <w:topLinePunct w:val="0"/>
              <w:bidi w:val="0"/>
              <w:spacing w:line="560" w:lineRule="exact"/>
              <w:rPr>
                <w:rFonts w:hint="eastAsia" w:ascii="宋体" w:hAnsi="宋体" w:eastAsia="仿宋_GB2312" w:cs="仿宋_GB2312"/>
                <w:color w:val="auto"/>
                <w:sz w:val="24"/>
                <w:szCs w:val="24"/>
                <w:highlight w:val="none"/>
              </w:rPr>
            </w:pPr>
          </w:p>
        </w:tc>
      </w:tr>
      <w:tr w14:paraId="0725C0F0">
        <w:tblPrEx>
          <w:tblCellMar>
            <w:top w:w="0" w:type="dxa"/>
            <w:left w:w="108" w:type="dxa"/>
            <w:bottom w:w="0" w:type="dxa"/>
            <w:right w:w="108" w:type="dxa"/>
          </w:tblCellMar>
        </w:tblPrEx>
        <w:trPr>
          <w:trHeight w:val="945" w:hRule="atLeast"/>
          <w:jc w:val="center"/>
        </w:trPr>
        <w:tc>
          <w:tcPr>
            <w:tcW w:w="813" w:type="dxa"/>
            <w:tcBorders>
              <w:top w:val="single" w:color="000000" w:sz="4" w:space="0"/>
              <w:left w:val="single" w:color="000000" w:sz="4" w:space="0"/>
              <w:bottom w:val="single" w:color="000000" w:sz="4" w:space="0"/>
              <w:right w:val="single" w:color="000000" w:sz="4" w:space="0"/>
            </w:tcBorders>
            <w:noWrap w:val="0"/>
            <w:vAlign w:val="center"/>
          </w:tcPr>
          <w:p w14:paraId="01120ADE">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30</w:t>
            </w:r>
          </w:p>
        </w:tc>
        <w:tc>
          <w:tcPr>
            <w:tcW w:w="1664" w:type="dxa"/>
            <w:vMerge w:val="continue"/>
            <w:tcBorders>
              <w:left w:val="single" w:color="000000" w:sz="4" w:space="0"/>
              <w:bottom w:val="single" w:color="000000" w:sz="4" w:space="0"/>
              <w:right w:val="single" w:color="000000" w:sz="4" w:space="0"/>
            </w:tcBorders>
            <w:noWrap w:val="0"/>
            <w:vAlign w:val="center"/>
          </w:tcPr>
          <w:p w14:paraId="40BA3DD0">
            <w:pPr>
              <w:keepNext w:val="0"/>
              <w:keepLines w:val="0"/>
              <w:pageBreakBefore w:val="0"/>
              <w:wordWrap/>
              <w:overflowPunct/>
              <w:topLinePunct w:val="0"/>
              <w:bidi w:val="0"/>
              <w:spacing w:line="560" w:lineRule="exact"/>
              <w:jc w:val="center"/>
              <w:rPr>
                <w:rFonts w:hint="eastAsia" w:ascii="宋体" w:hAnsi="宋体" w:eastAsia="仿宋_GB2312" w:cs="仿宋_GB2312"/>
                <w:color w:val="auto"/>
                <w:sz w:val="24"/>
                <w:szCs w:val="24"/>
                <w:highlight w:val="none"/>
              </w:rPr>
            </w:pPr>
          </w:p>
        </w:tc>
        <w:tc>
          <w:tcPr>
            <w:tcW w:w="5313" w:type="dxa"/>
            <w:tcBorders>
              <w:top w:val="single" w:color="000000" w:sz="4" w:space="0"/>
              <w:left w:val="single" w:color="000000" w:sz="4" w:space="0"/>
              <w:bottom w:val="single" w:color="000000" w:sz="4" w:space="0"/>
              <w:right w:val="single" w:color="000000" w:sz="4" w:space="0"/>
            </w:tcBorders>
            <w:noWrap w:val="0"/>
            <w:vAlign w:val="center"/>
          </w:tcPr>
          <w:p w14:paraId="7C0CF87B">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仿宋_GB2312" w:cs="仿宋_GB2312"/>
                <w:color w:val="auto"/>
                <w:sz w:val="24"/>
                <w:szCs w:val="24"/>
                <w:highlight w:val="none"/>
              </w:rPr>
            </w:pPr>
            <w:r>
              <w:rPr>
                <w:rFonts w:hint="eastAsia" w:ascii="宋体" w:hAnsi="宋体" w:eastAsia="仿宋_GB2312" w:cs="仿宋_GB2312"/>
                <w:color w:val="auto"/>
                <w:sz w:val="24"/>
                <w:szCs w:val="24"/>
                <w:highlight w:val="none"/>
              </w:rPr>
              <w:t>合作银行是否自觉配合监督检查，并根据监督检查结果，落实整改事项</w:t>
            </w: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4E133FAC">
            <w:pPr>
              <w:keepNext w:val="0"/>
              <w:keepLines w:val="0"/>
              <w:pageBreakBefore w:val="0"/>
              <w:wordWrap/>
              <w:overflowPunct/>
              <w:topLinePunct w:val="0"/>
              <w:bidi w:val="0"/>
              <w:spacing w:line="560" w:lineRule="exact"/>
              <w:rPr>
                <w:rFonts w:hint="eastAsia" w:ascii="宋体" w:hAnsi="宋体" w:eastAsia="仿宋_GB2312" w:cs="仿宋_GB2312"/>
                <w:color w:val="auto"/>
                <w:sz w:val="24"/>
                <w:szCs w:val="24"/>
                <w:highlight w:val="none"/>
              </w:rPr>
            </w:pPr>
          </w:p>
        </w:tc>
      </w:tr>
    </w:tbl>
    <w:p w14:paraId="748966B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仿宋_GB2312"/>
          <w:color w:val="auto"/>
          <w:sz w:val="32"/>
          <w:szCs w:val="32"/>
          <w:lang w:eastAsia="zh-CN"/>
        </w:rPr>
      </w:pPr>
    </w:p>
    <w:p w14:paraId="2B3E88E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仿宋_GB2312"/>
          <w:color w:val="auto"/>
          <w:sz w:val="32"/>
          <w:szCs w:val="32"/>
          <w:lang w:eastAsia="zh-CN"/>
        </w:rPr>
      </w:pPr>
    </w:p>
    <w:p w14:paraId="3FC746E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仿宋_GB2312"/>
          <w:color w:val="auto"/>
          <w:sz w:val="32"/>
          <w:szCs w:val="32"/>
          <w:lang w:eastAsia="zh-CN"/>
        </w:rPr>
      </w:pPr>
    </w:p>
    <w:sectPr>
      <w:footerReference r:id="rId5" w:type="default"/>
      <w:pgSz w:w="11906" w:h="16838"/>
      <w:pgMar w:top="2098" w:right="1474" w:bottom="1984" w:left="1587" w:header="851" w:footer="1587"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Helvetica">
    <w:altName w:val="Arial"/>
    <w:panose1 w:val="00000000000000000000"/>
    <w:charset w:val="00"/>
    <w:family w:val="swiss"/>
    <w:pitch w:val="default"/>
    <w:sig w:usb0="00000000" w:usb1="00000000" w:usb2="00000000" w:usb3="00000000" w:csb0="2000019F" w:csb1="4F010000"/>
  </w:font>
  <w:font w:name="仿宋_GB2312">
    <w:panose1 w:val="02010609030101010101"/>
    <w:charset w:val="86"/>
    <w:family w:val="auto"/>
    <w:pitch w:val="default"/>
    <w:sig w:usb0="00000001" w:usb1="080E0000" w:usb2="00000000" w:usb3="00000000" w:csb0="00040000" w:csb1="00000000"/>
  </w:font>
  <w:font w:name="方正小标宋简体">
    <w:altName w:val="仿宋_GB2312"/>
    <w:panose1 w:val="02000000000000000000"/>
    <w:charset w:val="86"/>
    <w:family w:val="auto"/>
    <w:pitch w:val="default"/>
    <w:sig w:usb0="00000000" w:usb1="00000000" w:usb2="00000012"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彩虹小标宋">
    <w:altName w:val="微软雅黑"/>
    <w:panose1 w:val="03000509000000000000"/>
    <w:charset w:val="86"/>
    <w:family w:val="script"/>
    <w:pitch w:val="default"/>
    <w:sig w:usb0="00000000" w:usb1="00000000" w:usb2="00000010" w:usb3="00000000" w:csb0="00040000" w:csb1="00000000"/>
  </w:font>
  <w:font w:name="方正黑体_GBK">
    <w:altName w:val="微软雅黑"/>
    <w:panose1 w:val="02000000000000000000"/>
    <w:charset w:val="86"/>
    <w:family w:val="auto"/>
    <w:pitch w:val="default"/>
    <w:sig w:usb0="00000000" w:usb1="00000000" w:usb2="00000000" w:usb3="00000000" w:csb0="00040000" w:csb1="00000000"/>
  </w:font>
  <w:font w:name="方正仿宋_GBK">
    <w:altName w:val="微软雅黑"/>
    <w:panose1 w:val="02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D1DDA9">
    <w:pPr>
      <w:pStyle w:val="5"/>
      <w:tabs>
        <w:tab w:val="left" w:pos="628"/>
      </w:tabs>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D75012">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2ED75012">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8AE2595">
                          <w:pPr>
                            <w:rPr>
                              <w:rFonts w:hint="eastAsia" w:ascii="宋体" w:hAnsi="宋体" w:eastAsia="宋体" w:cs="宋体"/>
                              <w:sz w:val="28"/>
                              <w:szCs w:val="28"/>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fill on="f" focussize="0,0"/>
              <v:stroke on="f"/>
              <v:imagedata o:title=""/>
              <o:lock v:ext="edit" aspectratio="f"/>
              <v:textbox inset="0mm,0mm,0mm,0mm" style="mso-fit-shape-to-text:t;">
                <w:txbxContent>
                  <w:p w14:paraId="28AE2595">
                    <w:pPr>
                      <w:rPr>
                        <w:rFonts w:hint="eastAsia" w:ascii="宋体" w:hAnsi="宋体" w:eastAsia="宋体" w:cs="宋体"/>
                        <w:sz w:val="28"/>
                        <w:szCs w:val="28"/>
                      </w:rPr>
                    </w:pPr>
                  </w:p>
                </w:txbxContent>
              </v:textbox>
            </v:shape>
          </w:pict>
        </mc:Fallback>
      </mc:AlternateContent>
    </w: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F76323">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D61CC9">
    <w:pPr>
      <w:pStyle w:val="5"/>
      <w:tabs>
        <w:tab w:val="left" w:pos="628"/>
        <w:tab w:val="clear" w:pos="4153"/>
      </w:tabs>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1615C5C"/>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41615C5C"/>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C5258B"/>
    <w:rsid w:val="00C44682"/>
    <w:rsid w:val="01297076"/>
    <w:rsid w:val="024562EB"/>
    <w:rsid w:val="02C92162"/>
    <w:rsid w:val="04012866"/>
    <w:rsid w:val="04B61232"/>
    <w:rsid w:val="05676EDD"/>
    <w:rsid w:val="05CD12A4"/>
    <w:rsid w:val="07752B3A"/>
    <w:rsid w:val="079F70B5"/>
    <w:rsid w:val="07EE1AC0"/>
    <w:rsid w:val="0833078A"/>
    <w:rsid w:val="089201C5"/>
    <w:rsid w:val="0A532ED9"/>
    <w:rsid w:val="0AF93041"/>
    <w:rsid w:val="0B297F03"/>
    <w:rsid w:val="0BBE572F"/>
    <w:rsid w:val="0E362232"/>
    <w:rsid w:val="0FC67579"/>
    <w:rsid w:val="0FCC69DB"/>
    <w:rsid w:val="100A26CC"/>
    <w:rsid w:val="10757746"/>
    <w:rsid w:val="116F1704"/>
    <w:rsid w:val="12C20150"/>
    <w:rsid w:val="12E8656E"/>
    <w:rsid w:val="12FE1A4A"/>
    <w:rsid w:val="13CF7DE7"/>
    <w:rsid w:val="145C0931"/>
    <w:rsid w:val="15260549"/>
    <w:rsid w:val="16646DDA"/>
    <w:rsid w:val="16AC4287"/>
    <w:rsid w:val="16EC00EF"/>
    <w:rsid w:val="1799501F"/>
    <w:rsid w:val="186A5BB8"/>
    <w:rsid w:val="18764630"/>
    <w:rsid w:val="188F271A"/>
    <w:rsid w:val="1A125617"/>
    <w:rsid w:val="1C133137"/>
    <w:rsid w:val="1C3E06E4"/>
    <w:rsid w:val="1C99656B"/>
    <w:rsid w:val="1DDD2B31"/>
    <w:rsid w:val="1EF74302"/>
    <w:rsid w:val="1F7BE134"/>
    <w:rsid w:val="208047DF"/>
    <w:rsid w:val="212A1AAA"/>
    <w:rsid w:val="22C87E82"/>
    <w:rsid w:val="22F17100"/>
    <w:rsid w:val="23CB7CD8"/>
    <w:rsid w:val="246F194D"/>
    <w:rsid w:val="24C62127"/>
    <w:rsid w:val="25424EE3"/>
    <w:rsid w:val="27DA1B98"/>
    <w:rsid w:val="2AAF41B2"/>
    <w:rsid w:val="2AB77FC8"/>
    <w:rsid w:val="2B515C4F"/>
    <w:rsid w:val="2B7B3A0B"/>
    <w:rsid w:val="2BFD1C09"/>
    <w:rsid w:val="2D7F0560"/>
    <w:rsid w:val="2E417A23"/>
    <w:rsid w:val="2EC81C8A"/>
    <w:rsid w:val="2FC37909"/>
    <w:rsid w:val="318E06C2"/>
    <w:rsid w:val="33FEB064"/>
    <w:rsid w:val="34433534"/>
    <w:rsid w:val="37EE4AAE"/>
    <w:rsid w:val="38B17C88"/>
    <w:rsid w:val="38B3166F"/>
    <w:rsid w:val="392C0A3B"/>
    <w:rsid w:val="3988468D"/>
    <w:rsid w:val="39884B52"/>
    <w:rsid w:val="3A764D56"/>
    <w:rsid w:val="3B725EEA"/>
    <w:rsid w:val="3B79054A"/>
    <w:rsid w:val="3BD031A1"/>
    <w:rsid w:val="3C3A346E"/>
    <w:rsid w:val="3CA03EB3"/>
    <w:rsid w:val="3CC72DC1"/>
    <w:rsid w:val="3CD73620"/>
    <w:rsid w:val="3D9C1BD9"/>
    <w:rsid w:val="3E3530AB"/>
    <w:rsid w:val="3E7A3C85"/>
    <w:rsid w:val="3EFBB98E"/>
    <w:rsid w:val="3F0C477C"/>
    <w:rsid w:val="3F335327"/>
    <w:rsid w:val="3FBA13FD"/>
    <w:rsid w:val="3FC217B1"/>
    <w:rsid w:val="3FD442B7"/>
    <w:rsid w:val="3FD95AD3"/>
    <w:rsid w:val="3FED8891"/>
    <w:rsid w:val="40356C65"/>
    <w:rsid w:val="40AF3B40"/>
    <w:rsid w:val="4263260B"/>
    <w:rsid w:val="42B11562"/>
    <w:rsid w:val="43595119"/>
    <w:rsid w:val="448B2AB9"/>
    <w:rsid w:val="44974335"/>
    <w:rsid w:val="44B9344A"/>
    <w:rsid w:val="45E87EEF"/>
    <w:rsid w:val="4645232A"/>
    <w:rsid w:val="469D7D45"/>
    <w:rsid w:val="47C02EA1"/>
    <w:rsid w:val="490F5C86"/>
    <w:rsid w:val="498D37E7"/>
    <w:rsid w:val="4A1744E6"/>
    <w:rsid w:val="4B1B162E"/>
    <w:rsid w:val="4B296B88"/>
    <w:rsid w:val="4B3C501C"/>
    <w:rsid w:val="4BA82FF7"/>
    <w:rsid w:val="4BC30976"/>
    <w:rsid w:val="4C653B92"/>
    <w:rsid w:val="4E6FADC9"/>
    <w:rsid w:val="4FD37E3D"/>
    <w:rsid w:val="5010361E"/>
    <w:rsid w:val="50DE21C3"/>
    <w:rsid w:val="52836CAC"/>
    <w:rsid w:val="5339574D"/>
    <w:rsid w:val="534F45DE"/>
    <w:rsid w:val="53EB1733"/>
    <w:rsid w:val="553A45E0"/>
    <w:rsid w:val="55C76EE4"/>
    <w:rsid w:val="55DC783B"/>
    <w:rsid w:val="566F1DB8"/>
    <w:rsid w:val="57D806B4"/>
    <w:rsid w:val="580F4197"/>
    <w:rsid w:val="58384113"/>
    <w:rsid w:val="59301A29"/>
    <w:rsid w:val="59CE54CA"/>
    <w:rsid w:val="59CFC31D"/>
    <w:rsid w:val="5B80669A"/>
    <w:rsid w:val="5BC754E8"/>
    <w:rsid w:val="5BCE2C90"/>
    <w:rsid w:val="5CA731C6"/>
    <w:rsid w:val="5D225F18"/>
    <w:rsid w:val="5F2E2567"/>
    <w:rsid w:val="5F3F560A"/>
    <w:rsid w:val="5FC66A07"/>
    <w:rsid w:val="5FEFCA9B"/>
    <w:rsid w:val="601D3857"/>
    <w:rsid w:val="60311297"/>
    <w:rsid w:val="60FB3145"/>
    <w:rsid w:val="627616EC"/>
    <w:rsid w:val="63F20007"/>
    <w:rsid w:val="641F0E7D"/>
    <w:rsid w:val="644F13EC"/>
    <w:rsid w:val="646C2C10"/>
    <w:rsid w:val="64A04C33"/>
    <w:rsid w:val="66193C90"/>
    <w:rsid w:val="665632F0"/>
    <w:rsid w:val="675D800D"/>
    <w:rsid w:val="67CA6590"/>
    <w:rsid w:val="6922722B"/>
    <w:rsid w:val="69E62E44"/>
    <w:rsid w:val="6A9164AF"/>
    <w:rsid w:val="6ADD7D9F"/>
    <w:rsid w:val="6B3E1281"/>
    <w:rsid w:val="6B472CBA"/>
    <w:rsid w:val="6B726EF1"/>
    <w:rsid w:val="6B7D039B"/>
    <w:rsid w:val="6C77379F"/>
    <w:rsid w:val="6CA90C6E"/>
    <w:rsid w:val="6CDC5A42"/>
    <w:rsid w:val="6D420105"/>
    <w:rsid w:val="6DF80E04"/>
    <w:rsid w:val="6E0E5A3E"/>
    <w:rsid w:val="6ED84824"/>
    <w:rsid w:val="6EDC1FE0"/>
    <w:rsid w:val="6F241291"/>
    <w:rsid w:val="6F860C63"/>
    <w:rsid w:val="6FD76303"/>
    <w:rsid w:val="6FD9AB14"/>
    <w:rsid w:val="6FDEB798"/>
    <w:rsid w:val="70715B4D"/>
    <w:rsid w:val="70DB3EC9"/>
    <w:rsid w:val="710263AB"/>
    <w:rsid w:val="7124415D"/>
    <w:rsid w:val="718C6F29"/>
    <w:rsid w:val="72356B79"/>
    <w:rsid w:val="729D5792"/>
    <w:rsid w:val="72D66FA7"/>
    <w:rsid w:val="72EA343C"/>
    <w:rsid w:val="738A7D82"/>
    <w:rsid w:val="73A54DB5"/>
    <w:rsid w:val="740022CC"/>
    <w:rsid w:val="74C7539D"/>
    <w:rsid w:val="74C85A97"/>
    <w:rsid w:val="75587EE6"/>
    <w:rsid w:val="756FA32A"/>
    <w:rsid w:val="75B457A7"/>
    <w:rsid w:val="75C5258B"/>
    <w:rsid w:val="75DA0EF8"/>
    <w:rsid w:val="764E4822"/>
    <w:rsid w:val="767B4732"/>
    <w:rsid w:val="76FA1F58"/>
    <w:rsid w:val="76FD73B4"/>
    <w:rsid w:val="77752390"/>
    <w:rsid w:val="77F019DE"/>
    <w:rsid w:val="787F4554"/>
    <w:rsid w:val="78BE0E43"/>
    <w:rsid w:val="79CB6702"/>
    <w:rsid w:val="7A64512A"/>
    <w:rsid w:val="7AFF1CA2"/>
    <w:rsid w:val="7B9F55B4"/>
    <w:rsid w:val="7BEFD0A0"/>
    <w:rsid w:val="7C7B6C57"/>
    <w:rsid w:val="7D5470AA"/>
    <w:rsid w:val="7DFF1036"/>
    <w:rsid w:val="7E0706D0"/>
    <w:rsid w:val="7EA44657"/>
    <w:rsid w:val="7ECA5B5F"/>
    <w:rsid w:val="7EFDFFA2"/>
    <w:rsid w:val="7F165AF4"/>
    <w:rsid w:val="7F9F94D8"/>
    <w:rsid w:val="7FAF510D"/>
    <w:rsid w:val="7FC136F1"/>
    <w:rsid w:val="7FF5CEAC"/>
    <w:rsid w:val="7FFDED69"/>
    <w:rsid w:val="8FF762BF"/>
    <w:rsid w:val="9A776EB4"/>
    <w:rsid w:val="ABFF3635"/>
    <w:rsid w:val="AE7F8FE6"/>
    <w:rsid w:val="AF4DE330"/>
    <w:rsid w:val="B6D713DE"/>
    <w:rsid w:val="B7A3EB38"/>
    <w:rsid w:val="BE7F03FF"/>
    <w:rsid w:val="BFBB3B17"/>
    <w:rsid w:val="CF7732E6"/>
    <w:rsid w:val="CFFEF22A"/>
    <w:rsid w:val="D4AB7CA0"/>
    <w:rsid w:val="DEBF7270"/>
    <w:rsid w:val="DEF75957"/>
    <w:rsid w:val="DF7B66BE"/>
    <w:rsid w:val="E7F5D483"/>
    <w:rsid w:val="EEAFFE07"/>
    <w:rsid w:val="EFD3256E"/>
    <w:rsid w:val="EFFF2E67"/>
    <w:rsid w:val="F36F5461"/>
    <w:rsid w:val="F3FF5C76"/>
    <w:rsid w:val="F4AD1832"/>
    <w:rsid w:val="F87CA37C"/>
    <w:rsid w:val="FE342F40"/>
    <w:rsid w:val="FF5BCF4C"/>
    <w:rsid w:val="FFB54B7C"/>
    <w:rsid w:val="FFBECB6C"/>
    <w:rsid w:val="FFCB9D52"/>
    <w:rsid w:val="FFFB02AA"/>
    <w:rsid w:val="FFFB0F04"/>
    <w:rsid w:val="FFFD03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index 5"/>
    <w:basedOn w:val="1"/>
    <w:next w:val="1"/>
    <w:qFormat/>
    <w:uiPriority w:val="0"/>
    <w:pPr>
      <w:ind w:left="1680"/>
    </w:pPr>
  </w:style>
  <w:style w:type="paragraph" w:styleId="3">
    <w:name w:val="annotation text"/>
    <w:basedOn w:val="1"/>
    <w:qFormat/>
    <w:uiPriority w:val="0"/>
    <w:pPr>
      <w:jc w:val="left"/>
    </w:pPr>
  </w:style>
  <w:style w:type="paragraph" w:styleId="4">
    <w:name w:val="Body Text"/>
    <w:basedOn w:val="1"/>
    <w:next w:val="5"/>
    <w:qFormat/>
    <w:uiPriority w:val="0"/>
    <w:pPr>
      <w:spacing w:before="190"/>
      <w:ind w:left="120"/>
    </w:pPr>
    <w:rPr>
      <w:rFonts w:ascii="仿宋" w:eastAsia="仿宋" w:cs="仿宋"/>
      <w:sz w:val="32"/>
      <w:szCs w:val="32"/>
      <w:lang w:val="zh-CN"/>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9">
    <w:name w:val="默认"/>
    <w:qFormat/>
    <w:uiPriority w:val="0"/>
    <w:rPr>
      <w:rFonts w:ascii="Helvetica" w:hAnsi="Helvetica" w:eastAsia="Helvetica" w:cs="Helvetica"/>
      <w:color w:val="000000"/>
      <w:sz w:val="22"/>
      <w:szCs w:val="22"/>
      <w:lang w:val="en-US" w:eastAsia="zh-CN" w:bidi="ar-SA"/>
    </w:rPr>
  </w:style>
  <w:style w:type="paragraph" w:customStyle="1" w:styleId="10">
    <w:name w:val="表格文字"/>
    <w:qFormat/>
    <w:uiPriority w:val="0"/>
    <w:pPr>
      <w:widowControl w:val="0"/>
      <w:spacing w:before="25" w:after="25"/>
    </w:pPr>
    <w:rPr>
      <w:rFonts w:ascii="Calibri" w:hAnsi="Calibri" w:eastAsia="仿宋_GB2312" w:cs="Times New Roman"/>
      <w:bCs/>
      <w:spacing w:val="10"/>
      <w:sz w:val="32"/>
      <w:szCs w:val="24"/>
      <w:lang w:val="en-US" w:eastAsia="zh-CN" w:bidi="ar-SA"/>
    </w:rPr>
  </w:style>
  <w:style w:type="character" w:customStyle="1" w:styleId="11">
    <w:name w:val="NormalCharacter"/>
    <w:link w:val="12"/>
    <w:semiHidden/>
    <w:qFormat/>
    <w:uiPriority w:val="0"/>
    <w:rPr>
      <w:rFonts w:ascii="Times New Roman" w:hAnsi="Times New Roman" w:eastAsia="宋体"/>
    </w:rPr>
  </w:style>
  <w:style w:type="paragraph" w:customStyle="1" w:styleId="12">
    <w:name w:val="UserStyle_0"/>
    <w:basedOn w:val="1"/>
    <w:link w:val="11"/>
    <w:qFormat/>
    <w:uiPriority w:val="0"/>
    <w:pPr>
      <w:widowControl/>
      <w:spacing w:after="160" w:line="240" w:lineRule="exact"/>
      <w:jc w:val="left"/>
    </w:pPr>
    <w:rPr>
      <w:rFonts w:ascii="Times New Roman" w:hAnsi="Times New Roman" w:eastAsia="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29</Pages>
  <Words>11967</Words>
  <Characters>12076</Characters>
  <Lines>0</Lines>
  <Paragraphs>0</Paragraphs>
  <TotalTime>11</TotalTime>
  <ScaleCrop>false</ScaleCrop>
  <LinksUpToDate>false</LinksUpToDate>
  <CharactersWithSpaces>12409</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2026-03-21T11:20:00Z</dcterms:created>
  <dc:creator>随我</dc:creator>
  <cp:lastModifiedBy>zhong</cp:lastModifiedBy>
  <dcterms:modified xsi:type="dcterms:W3CDTF">2026-05-14T06:45:59Z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58E76E0DB55F42F9A8E7CE56DF123B58_13</vt:lpwstr>
  </property>
  <property fmtid="{D5CDD505-2E9C-101B-9397-08002B2CF9AE}" pid="4" name="KSOTemplateDocerSaveRecord">
    <vt:lpwstr>eyJoZGlkIjoiZDEyMmQyYmYzOWExOTM4NTgzMjYwYTMxNDNjNThjODQiLCJ1c2VySWQiOiI2ODQ0MDk0MDQifQ==</vt:lpwstr>
  </property>
</Properties>
</file>