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hint="eastAsia" w:ascii="方正小标宋简体" w:hAnsi="方正小标宋简体" w:eastAsia="方正小标宋简体" w:cs="方正小标宋简体"/>
          <w:color w:val="000000"/>
          <w:sz w:val="44"/>
          <w:szCs w:val="44"/>
          <w:lang w:eastAsia="zh-CN"/>
        </w:rPr>
      </w:pPr>
      <w:r>
        <w:rPr>
          <w:rFonts w:hint="eastAsia" w:ascii="方正小标宋简体" w:hAnsi="方正小标宋简体" w:eastAsia="方正小标宋简体" w:cs="方正小标宋简体"/>
          <w:color w:val="000000"/>
          <w:sz w:val="44"/>
          <w:szCs w:val="44"/>
        </w:rPr>
        <w:t>赣州市综合立体交通网规划</w:t>
      </w:r>
      <w:r>
        <w:rPr>
          <w:rFonts w:hint="eastAsia" w:ascii="方正小标宋简体" w:hAnsi="方正小标宋简体" w:eastAsia="方正小标宋简体" w:cs="方正小标宋简体"/>
          <w:color w:val="000000"/>
          <w:sz w:val="44"/>
          <w:szCs w:val="44"/>
          <w:lang w:eastAsia="zh-CN"/>
        </w:rPr>
        <w:t>（</w:t>
      </w:r>
      <w:r>
        <w:rPr>
          <w:rFonts w:hint="eastAsia" w:ascii="方正小标宋简体" w:hAnsi="方正小标宋简体" w:eastAsia="方正小标宋简体" w:cs="方正小标宋简体"/>
          <w:color w:val="000000"/>
          <w:sz w:val="44"/>
          <w:szCs w:val="44"/>
          <w:lang w:val="en-US" w:eastAsia="zh-CN"/>
        </w:rPr>
        <w:t>讨论稿</w:t>
      </w:r>
      <w:r>
        <w:rPr>
          <w:rFonts w:hint="eastAsia" w:ascii="方正小标宋简体" w:hAnsi="方正小标宋简体" w:eastAsia="方正小标宋简体" w:cs="方正小标宋简体"/>
          <w:color w:val="000000"/>
          <w:sz w:val="44"/>
          <w:szCs w:val="44"/>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eastAsia" w:ascii="宋体" w:hAnsi="宋体" w:eastAsia="仿宋_GB2312" w:cs="仿宋_GB2312"/>
          <w:color w:val="000000"/>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40" w:lineRule="exact"/>
        <w:ind w:firstLine="618" w:firstLineChars="200"/>
        <w:textAlignment w:val="baseline"/>
        <w:rPr>
          <w:rFonts w:hint="eastAsia" w:ascii="仿宋_GB2312" w:hAnsi="宋体" w:eastAsia="仿宋_GB2312" w:cs="仿宋_GB2312"/>
          <w:sz w:val="32"/>
          <w:szCs w:val="32"/>
        </w:rPr>
      </w:pPr>
      <w:r>
        <w:rPr>
          <w:rFonts w:hint="eastAsia" w:ascii="仿宋_GB2312" w:hAnsi="宋体" w:eastAsia="仿宋_GB2312" w:cs="仿宋_GB2312"/>
          <w:sz w:val="32"/>
          <w:szCs w:val="32"/>
        </w:rPr>
        <w:t>为深入贯彻落实《国家综合立体交通网规划纲要》和《江西省综合立体交通网规划》文件精神，加快</w:t>
      </w:r>
      <w:r>
        <w:rPr>
          <w:rFonts w:hint="eastAsia" w:ascii="仿宋_GB2312" w:hAnsi="宋体" w:eastAsia="仿宋_GB2312" w:cs="仿宋_GB2312"/>
          <w:sz w:val="32"/>
          <w:szCs w:val="32"/>
          <w:lang w:val="en-US" w:eastAsia="zh-CN"/>
        </w:rPr>
        <w:t>推进</w:t>
      </w:r>
      <w:r>
        <w:rPr>
          <w:rFonts w:hint="eastAsia" w:ascii="仿宋_GB2312" w:hAnsi="宋体" w:eastAsia="仿宋_GB2312" w:cs="仿宋_GB2312"/>
          <w:sz w:val="32"/>
          <w:szCs w:val="32"/>
        </w:rPr>
        <w:t>交通强市建设，构建现代化综合立体交通网，编制本规划。规划期至2035年，远景展望至本世纪中叶。</w:t>
      </w:r>
    </w:p>
    <w:p>
      <w:pPr>
        <w:pStyle w:val="5"/>
        <w:keepNext w:val="0"/>
        <w:keepLines w:val="0"/>
        <w:pageBreakBefore w:val="0"/>
        <w:widowControl/>
        <w:kinsoku w:val="0"/>
        <w:wordWrap/>
        <w:overflowPunct/>
        <w:topLinePunct w:val="0"/>
        <w:autoSpaceDE w:val="0"/>
        <w:autoSpaceDN w:val="0"/>
        <w:bidi w:val="0"/>
        <w:adjustRightInd w:val="0"/>
        <w:snapToGrid w:val="0"/>
        <w:spacing w:beforeAutospacing="0" w:afterAutospacing="0" w:line="540" w:lineRule="exact"/>
        <w:ind w:firstLine="618" w:firstLineChars="200"/>
        <w:jc w:val="both"/>
        <w:textAlignment w:val="baseline"/>
        <w:rPr>
          <w:rFonts w:hint="eastAsia" w:eastAsia="黑体" w:cs="黑体"/>
          <w:b w:val="0"/>
          <w:bCs/>
          <w:color w:val="000000"/>
          <w:sz w:val="32"/>
          <w:szCs w:val="32"/>
        </w:rPr>
      </w:pPr>
      <w:bookmarkStart w:id="0" w:name="_Toc91265231"/>
      <w:bookmarkStart w:id="1" w:name="_Toc151387963"/>
      <w:r>
        <w:rPr>
          <w:rFonts w:hint="eastAsia" w:eastAsia="黑体" w:cs="黑体"/>
          <w:b w:val="0"/>
          <w:bCs/>
          <w:color w:val="000000"/>
          <w:sz w:val="32"/>
          <w:szCs w:val="32"/>
        </w:rPr>
        <w:t>一、</w:t>
      </w:r>
      <w:bookmarkEnd w:id="0"/>
      <w:r>
        <w:rPr>
          <w:rFonts w:hint="eastAsia" w:eastAsia="黑体" w:cs="黑体"/>
          <w:b w:val="0"/>
          <w:bCs/>
          <w:color w:val="000000"/>
          <w:sz w:val="32"/>
          <w:szCs w:val="32"/>
        </w:rPr>
        <w:t>总体要求</w:t>
      </w:r>
      <w:bookmarkEnd w:id="1"/>
    </w:p>
    <w:p>
      <w:pPr>
        <w:pStyle w:val="6"/>
        <w:keepNext w:val="0"/>
        <w:keepLines w:val="0"/>
        <w:pageBreakBefore w:val="0"/>
        <w:widowControl/>
        <w:kinsoku w:val="0"/>
        <w:wordWrap/>
        <w:overflowPunct/>
        <w:topLinePunct w:val="0"/>
        <w:autoSpaceDE w:val="0"/>
        <w:autoSpaceDN w:val="0"/>
        <w:bidi w:val="0"/>
        <w:adjustRightInd w:val="0"/>
        <w:snapToGrid w:val="0"/>
        <w:spacing w:before="0" w:after="0" w:line="540" w:lineRule="exact"/>
        <w:ind w:firstLine="618" w:firstLineChars="200"/>
        <w:textAlignment w:val="baseline"/>
        <w:rPr>
          <w:rFonts w:hint="eastAsia" w:ascii="楷体_GB2312" w:hAnsi="楷体_GB2312" w:eastAsia="楷体_GB2312" w:cs="楷体_GB2312"/>
          <w:b w:val="0"/>
          <w:color w:val="000000"/>
          <w:szCs w:val="32"/>
        </w:rPr>
      </w:pPr>
      <w:bookmarkStart w:id="2" w:name="_Toc91265232"/>
      <w:bookmarkStart w:id="3" w:name="_Toc151387964"/>
      <w:r>
        <w:rPr>
          <w:rFonts w:hint="eastAsia" w:ascii="楷体_GB2312" w:hAnsi="楷体_GB2312" w:eastAsia="楷体_GB2312" w:cs="楷体_GB2312"/>
          <w:b w:val="0"/>
          <w:color w:val="000000"/>
          <w:szCs w:val="32"/>
        </w:rPr>
        <w:t>（一）</w:t>
      </w:r>
      <w:bookmarkEnd w:id="2"/>
      <w:r>
        <w:rPr>
          <w:rFonts w:hint="eastAsia" w:ascii="楷体_GB2312" w:hAnsi="楷体_GB2312" w:eastAsia="楷体_GB2312" w:cs="楷体_GB2312"/>
          <w:b w:val="0"/>
          <w:color w:val="000000"/>
          <w:szCs w:val="32"/>
        </w:rPr>
        <w:t>指导思想</w:t>
      </w:r>
      <w:bookmarkEnd w:id="3"/>
    </w:p>
    <w:p>
      <w:pPr>
        <w:keepNext w:val="0"/>
        <w:keepLines w:val="0"/>
        <w:pageBreakBefore w:val="0"/>
        <w:widowControl/>
        <w:kinsoku w:val="0"/>
        <w:wordWrap/>
        <w:overflowPunct/>
        <w:topLinePunct w:val="0"/>
        <w:autoSpaceDE w:val="0"/>
        <w:autoSpaceDN w:val="0"/>
        <w:bidi w:val="0"/>
        <w:adjustRightInd w:val="0"/>
        <w:snapToGrid w:val="0"/>
        <w:spacing w:line="540" w:lineRule="exact"/>
        <w:ind w:firstLine="618" w:firstLineChars="200"/>
        <w:textAlignment w:val="baseline"/>
        <w:rPr>
          <w:rFonts w:ascii="宋体" w:hAnsi="宋体" w:eastAsia="仿宋_GB2312" w:cs="仿宋_GB2312"/>
          <w:sz w:val="32"/>
          <w:szCs w:val="32"/>
        </w:rPr>
      </w:pPr>
      <w:bookmarkStart w:id="4" w:name="_Hlk91446444"/>
      <w:r>
        <w:rPr>
          <w:rFonts w:hint="eastAsia" w:ascii="宋体" w:hAnsi="宋体" w:eastAsia="仿宋_GB2312" w:cs="仿宋_GB2312"/>
          <w:sz w:val="32"/>
          <w:szCs w:val="32"/>
        </w:rPr>
        <w:t>以习近平新时代中国特色社会主义思想为指导，全面贯彻党的二十大精神，落实习近平总书记关于交通运输工作的重要论述和考察江西重要讲话精神，以建设人民满意交通为根本目的，推进新时代赣南苏区振兴发展、打造对接融入粤港澳大湾区桥头堡、建设省域副中心城市；深度融入“一带一路”建设，全面提升综合交通整体能力和效率，优化交通资源要素配置，完善综合交通基础设施布局，强化各方式有效衔接，促进综合交通一体化、高质量发展，打造一流设施、技术、管理、服务，构建布局完善、便捷顺畅、经济高效、绿色智能、安全可靠的现代化综合立体交通网。为赣州市建设成为开放、高效、畅达的全国性综合交通枢纽城市以及智慧、绿色、魅力的革命老区交通运输高质量发展示范区提供坚强保障。</w:t>
      </w:r>
    </w:p>
    <w:p>
      <w:pPr>
        <w:pStyle w:val="6"/>
        <w:keepNext w:val="0"/>
        <w:keepLines w:val="0"/>
        <w:pageBreakBefore w:val="0"/>
        <w:widowControl/>
        <w:kinsoku w:val="0"/>
        <w:wordWrap/>
        <w:overflowPunct/>
        <w:topLinePunct w:val="0"/>
        <w:autoSpaceDE w:val="0"/>
        <w:autoSpaceDN w:val="0"/>
        <w:bidi w:val="0"/>
        <w:adjustRightInd w:val="0"/>
        <w:snapToGrid w:val="0"/>
        <w:spacing w:before="0" w:after="0" w:line="540" w:lineRule="exact"/>
        <w:ind w:firstLine="618" w:firstLineChars="200"/>
        <w:textAlignment w:val="baseline"/>
        <w:rPr>
          <w:rFonts w:hint="eastAsia" w:ascii="楷体_GB2312" w:hAnsi="楷体_GB2312" w:eastAsia="楷体_GB2312" w:cs="楷体_GB2312"/>
          <w:b w:val="0"/>
          <w:color w:val="000000"/>
          <w:szCs w:val="32"/>
        </w:rPr>
      </w:pPr>
      <w:bookmarkStart w:id="5" w:name="_Toc151387965"/>
      <w:r>
        <w:rPr>
          <w:rFonts w:hint="eastAsia" w:ascii="楷体_GB2312" w:hAnsi="楷体_GB2312" w:eastAsia="楷体_GB2312" w:cs="楷体_GB2312"/>
          <w:b w:val="0"/>
          <w:color w:val="000000"/>
          <w:szCs w:val="32"/>
        </w:rPr>
        <w:t>（二）规划目标</w:t>
      </w:r>
      <w:bookmarkEnd w:id="5"/>
    </w:p>
    <w:bookmarkEnd w:id="4"/>
    <w:p>
      <w:pPr>
        <w:spacing w:line="520" w:lineRule="exact"/>
        <w:ind w:firstLine="618" w:firstLineChars="200"/>
        <w:rPr>
          <w:rFonts w:hint="eastAsia" w:ascii="仿宋_GB2312" w:hAnsi="宋体" w:eastAsia="仿宋_GB2312" w:cs="仿宋_GB2312"/>
          <w:sz w:val="32"/>
          <w:szCs w:val="32"/>
        </w:rPr>
      </w:pPr>
      <w:bookmarkStart w:id="65" w:name="_GoBack"/>
      <w:r>
        <w:rPr>
          <w:rFonts w:hint="eastAsia" w:ascii="仿宋_GB2312" w:hAnsi="宋体" w:eastAsia="仿宋_GB2312" w:cs="仿宋_GB2312"/>
          <w:sz w:val="32"/>
          <w:szCs w:val="32"/>
        </w:rPr>
        <w:t>到2035年，基本建成“布局完善、便捷顺畅、经济高效、</w:t>
      </w:r>
      <w:bookmarkEnd w:id="65"/>
      <w:r>
        <w:rPr>
          <w:rFonts w:hint="eastAsia" w:ascii="仿宋_GB2312" w:hAnsi="宋体" w:eastAsia="仿宋_GB2312" w:cs="仿宋_GB2312"/>
          <w:sz w:val="32"/>
          <w:szCs w:val="32"/>
        </w:rPr>
        <w:t>绿色智能、安全可靠”的现代化综合立体交通网，基本形成“赣州123出行交通圈”（1小时基本覆盖赣州市中心城区乡镇；2小时基本覆盖赣州市域各县（市）及周边省会、设市区；3小时基本覆盖全国主要城市)，基本形成“赣州123快货物流圈”(1天基本到达市域内所有建制村；2天基本到达国内其它物流枢纽城市；3天基本到达“一带一路”沿线主要国家)，建成人民满意、保障有力、全省前列的交通强市，有力支撑社会主义现代化赣州建设。</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5000" w:type="pct"/>
            <w:noWrap w:val="0"/>
            <w:vAlign w:val="center"/>
          </w:tcPr>
          <w:p>
            <w:pPr>
              <w:overflowPunct w:val="0"/>
              <w:adjustRightInd w:val="0"/>
              <w:snapToGrid w:val="0"/>
              <w:spacing w:line="400" w:lineRule="exact"/>
              <w:jc w:val="center"/>
              <w:rPr>
                <w:rFonts w:ascii="宋体" w:hAnsi="宋体"/>
                <w:color w:val="000000"/>
                <w:sz w:val="24"/>
              </w:rPr>
            </w:pPr>
            <w:r>
              <w:rPr>
                <w:rFonts w:ascii="宋体" w:hAnsi="宋体" w:eastAsia="黑体"/>
                <w:color w:val="000000"/>
                <w:sz w:val="28"/>
                <w:szCs w:val="28"/>
              </w:rPr>
              <w:t>专栏</w:t>
            </w:r>
            <w:r>
              <w:rPr>
                <w:rFonts w:hint="eastAsia" w:ascii="宋体" w:hAnsi="宋体" w:eastAsia="黑体"/>
                <w:color w:val="000000"/>
                <w:sz w:val="28"/>
                <w:szCs w:val="28"/>
              </w:rPr>
              <w:t>一：</w:t>
            </w:r>
            <w:r>
              <w:rPr>
                <w:rFonts w:ascii="宋体" w:hAnsi="宋体" w:eastAsia="黑体"/>
                <w:color w:val="000000"/>
                <w:sz w:val="28"/>
                <w:szCs w:val="28"/>
              </w:rPr>
              <w:t xml:space="preserve">  2035</w:t>
            </w:r>
            <w:r>
              <w:rPr>
                <w:rFonts w:hint="eastAsia" w:ascii="宋体" w:hAnsi="宋体" w:eastAsia="黑体"/>
                <w:color w:val="000000"/>
                <w:sz w:val="28"/>
                <w:szCs w:val="28"/>
              </w:rPr>
              <w:t>年</w:t>
            </w:r>
            <w:r>
              <w:rPr>
                <w:rFonts w:ascii="宋体" w:hAnsi="宋体" w:eastAsia="黑体"/>
                <w:color w:val="000000"/>
                <w:sz w:val="28"/>
                <w:szCs w:val="28"/>
              </w:rPr>
              <w:t>发展目标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5000" w:type="pct"/>
            <w:noWrap w:val="0"/>
            <w:vAlign w:val="center"/>
          </w:tcPr>
          <w:p>
            <w:pPr>
              <w:keepNext w:val="0"/>
              <w:keepLines w:val="0"/>
              <w:pageBreakBefore w:val="0"/>
              <w:widowControl/>
              <w:kinsoku w:val="0"/>
              <w:wordWrap/>
              <w:overflowPunct w:val="0"/>
              <w:topLinePunct w:val="0"/>
              <w:autoSpaceDE w:val="0"/>
              <w:autoSpaceDN w:val="0"/>
              <w:bidi w:val="0"/>
              <w:adjustRightInd w:val="0"/>
              <w:snapToGrid w:val="0"/>
              <w:spacing w:line="560" w:lineRule="exact"/>
              <w:ind w:firstLine="458" w:firstLineChars="200"/>
              <w:textAlignment w:val="baseline"/>
              <w:rPr>
                <w:rFonts w:hint="eastAsia" w:ascii="宋体" w:hAnsi="宋体"/>
                <w:color w:val="000000"/>
                <w:sz w:val="24"/>
              </w:rPr>
            </w:pPr>
            <w:r>
              <w:rPr>
                <w:rFonts w:hint="eastAsia" w:ascii="宋体" w:hAnsi="宋体"/>
                <w:b/>
                <w:bCs/>
                <w:color w:val="000000"/>
                <w:sz w:val="24"/>
              </w:rPr>
              <w:t>布局完善。</w:t>
            </w:r>
            <w:r>
              <w:rPr>
                <w:rFonts w:hint="eastAsia" w:ascii="宋体" w:hAnsi="宋体"/>
                <w:color w:val="000000"/>
                <w:sz w:val="24"/>
              </w:rPr>
              <w:t>基本形成国际国内互联互通、主要城市立体畅达、县级节点高效连接、乡镇村庄有效覆盖的综合立体交通网。高铁、机场（含通用机场）基本县（市、区)全覆盖，高速公路覆盖10万人以上城镇，</w:t>
            </w:r>
            <w:r>
              <w:rPr>
                <w:rFonts w:hint="eastAsia" w:ascii="宋体" w:hAnsi="宋体" w:eastAsia="宋体"/>
                <w:color w:val="000000"/>
                <w:sz w:val="24"/>
                <w:lang w:val="en-US" w:eastAsia="zh-CN"/>
              </w:rPr>
              <w:t>基本实现</w:t>
            </w:r>
            <w:r>
              <w:rPr>
                <w:rFonts w:hint="eastAsia" w:ascii="宋体" w:hAnsi="宋体"/>
                <w:color w:val="000000"/>
                <w:sz w:val="24"/>
              </w:rPr>
              <w:t>乡镇通三级</w:t>
            </w:r>
            <w:r>
              <w:rPr>
                <w:rFonts w:hint="eastAsia" w:ascii="宋体" w:hAnsi="宋体" w:eastAsia="宋体"/>
                <w:color w:val="000000"/>
                <w:sz w:val="24"/>
                <w:lang w:val="en-US" w:eastAsia="zh-CN"/>
              </w:rPr>
              <w:t>路</w:t>
            </w:r>
            <w:r>
              <w:rPr>
                <w:rFonts w:hint="eastAsia" w:ascii="宋体" w:hAnsi="宋体"/>
                <w:color w:val="000000"/>
                <w:sz w:val="24"/>
              </w:rPr>
              <w:t>，双车道公路和邮政快递网点基本覆盖建制村。</w:t>
            </w:r>
          </w:p>
          <w:p>
            <w:pPr>
              <w:keepNext w:val="0"/>
              <w:keepLines w:val="0"/>
              <w:pageBreakBefore w:val="0"/>
              <w:widowControl/>
              <w:kinsoku w:val="0"/>
              <w:wordWrap/>
              <w:overflowPunct w:val="0"/>
              <w:topLinePunct w:val="0"/>
              <w:autoSpaceDE w:val="0"/>
              <w:autoSpaceDN w:val="0"/>
              <w:bidi w:val="0"/>
              <w:adjustRightInd w:val="0"/>
              <w:snapToGrid w:val="0"/>
              <w:spacing w:line="560" w:lineRule="exact"/>
              <w:ind w:firstLine="458" w:firstLineChars="200"/>
              <w:textAlignment w:val="baseline"/>
              <w:rPr>
                <w:rFonts w:hint="eastAsia" w:ascii="宋体" w:hAnsi="宋体"/>
                <w:color w:val="000000"/>
                <w:sz w:val="24"/>
              </w:rPr>
            </w:pPr>
            <w:r>
              <w:rPr>
                <w:rFonts w:hint="eastAsia" w:ascii="宋体" w:hAnsi="宋体"/>
                <w:b/>
                <w:bCs/>
                <w:color w:val="000000"/>
                <w:sz w:val="24"/>
              </w:rPr>
              <w:t>便捷顺畅。</w:t>
            </w:r>
            <w:r>
              <w:rPr>
                <w:rFonts w:hint="eastAsia" w:ascii="宋体" w:hAnsi="宋体"/>
                <w:color w:val="000000"/>
                <w:sz w:val="24"/>
              </w:rPr>
              <w:t>基本实现建制村15分钟到候车站点、乡镇15分钟上国省道、县（市、区）级中心30分钟上高速公路、赣州中心城区30分钟进机场或高铁站、综合枢纽1</w:t>
            </w:r>
            <w:r>
              <w:rPr>
                <w:rFonts w:ascii="宋体" w:hAnsi="宋体"/>
                <w:color w:val="000000"/>
                <w:sz w:val="24"/>
              </w:rPr>
              <w:t>0</w:t>
            </w:r>
            <w:r>
              <w:rPr>
                <w:rFonts w:hint="eastAsia" w:ascii="宋体" w:hAnsi="宋体"/>
                <w:color w:val="000000"/>
                <w:sz w:val="24"/>
              </w:rPr>
              <w:t>分钟换乘，基本形成“赣州123出行交通圈”。无障碍出行服务体系基本完善，人民满意度明显提高。</w:t>
            </w:r>
          </w:p>
          <w:p>
            <w:pPr>
              <w:keepNext w:val="0"/>
              <w:keepLines w:val="0"/>
              <w:pageBreakBefore w:val="0"/>
              <w:widowControl/>
              <w:kinsoku w:val="0"/>
              <w:wordWrap/>
              <w:overflowPunct w:val="0"/>
              <w:topLinePunct w:val="0"/>
              <w:autoSpaceDE w:val="0"/>
              <w:autoSpaceDN w:val="0"/>
              <w:bidi w:val="0"/>
              <w:adjustRightInd w:val="0"/>
              <w:snapToGrid w:val="0"/>
              <w:spacing w:line="560" w:lineRule="exact"/>
              <w:ind w:firstLine="458" w:firstLineChars="200"/>
              <w:textAlignment w:val="baseline"/>
              <w:rPr>
                <w:rFonts w:hint="eastAsia" w:ascii="宋体" w:hAnsi="宋体"/>
                <w:color w:val="000000"/>
                <w:sz w:val="24"/>
              </w:rPr>
            </w:pPr>
            <w:r>
              <w:rPr>
                <w:rFonts w:hint="eastAsia" w:ascii="宋体" w:hAnsi="宋体"/>
                <w:b/>
                <w:bCs/>
                <w:color w:val="000000"/>
                <w:sz w:val="24"/>
              </w:rPr>
              <w:t>经济高效。</w:t>
            </w:r>
            <w:bookmarkStart w:id="6" w:name="_Hlk152424995"/>
            <w:r>
              <w:rPr>
                <w:rFonts w:hint="eastAsia" w:ascii="宋体" w:hAnsi="宋体"/>
                <w:color w:val="000000"/>
                <w:sz w:val="24"/>
              </w:rPr>
              <w:t>运输结构明显优化</w:t>
            </w:r>
            <w:bookmarkEnd w:id="6"/>
            <w:r>
              <w:rPr>
                <w:rFonts w:hint="eastAsia" w:ascii="宋体" w:hAnsi="宋体"/>
                <w:color w:val="000000"/>
                <w:sz w:val="24"/>
              </w:rPr>
              <w:t>，铁路和民航客运比重、水运和铁路货运比重明显提高，多式联运规模和换装效率显著提高。综合交通枢纽实现与产业、城镇、商贸等联动融合发展，交通枢纽基本具备寄递功能，基本形成“赣州123快货物流圈”。</w:t>
            </w:r>
          </w:p>
          <w:p>
            <w:pPr>
              <w:keepNext w:val="0"/>
              <w:keepLines w:val="0"/>
              <w:pageBreakBefore w:val="0"/>
              <w:widowControl/>
              <w:kinsoku w:val="0"/>
              <w:wordWrap/>
              <w:overflowPunct w:val="0"/>
              <w:topLinePunct w:val="0"/>
              <w:autoSpaceDE w:val="0"/>
              <w:autoSpaceDN w:val="0"/>
              <w:bidi w:val="0"/>
              <w:adjustRightInd w:val="0"/>
              <w:snapToGrid w:val="0"/>
              <w:spacing w:line="560" w:lineRule="exact"/>
              <w:ind w:firstLine="458" w:firstLineChars="200"/>
              <w:textAlignment w:val="baseline"/>
              <w:rPr>
                <w:rFonts w:hint="eastAsia" w:ascii="宋体" w:hAnsi="宋体"/>
                <w:color w:val="000000"/>
                <w:sz w:val="24"/>
              </w:rPr>
            </w:pPr>
            <w:r>
              <w:rPr>
                <w:rFonts w:hint="eastAsia" w:ascii="宋体" w:hAnsi="宋体"/>
                <w:b/>
                <w:bCs/>
                <w:color w:val="000000"/>
                <w:sz w:val="24"/>
              </w:rPr>
              <w:t>绿色智能。</w:t>
            </w:r>
            <w:r>
              <w:rPr>
                <w:rFonts w:hint="eastAsia" w:ascii="宋体" w:hAnsi="宋体"/>
                <w:color w:val="000000"/>
                <w:sz w:val="24"/>
              </w:rPr>
              <w:t>综合运输通道资源、港口岸线资源利用集约化水平大幅提高。基本实现交通基础设施建设全过程、全周期绿色化。单位运输能耗、二氧化碳排放强度显著下降。基本实现综合交通干线路网、主要枢纽等基础设施全要素全周期数字化，基本建成泛在先进的交通信息基础设施,智能化运输装备等技术广泛应用。</w:t>
            </w:r>
          </w:p>
          <w:p>
            <w:pPr>
              <w:keepNext w:val="0"/>
              <w:keepLines w:val="0"/>
              <w:pageBreakBefore w:val="0"/>
              <w:widowControl/>
              <w:kinsoku w:val="0"/>
              <w:wordWrap/>
              <w:overflowPunct w:val="0"/>
              <w:topLinePunct w:val="0"/>
              <w:autoSpaceDE w:val="0"/>
              <w:autoSpaceDN w:val="0"/>
              <w:bidi w:val="0"/>
              <w:adjustRightInd w:val="0"/>
              <w:snapToGrid w:val="0"/>
              <w:spacing w:line="560" w:lineRule="exact"/>
              <w:ind w:firstLine="458" w:firstLineChars="200"/>
              <w:textAlignment w:val="baseline"/>
              <w:rPr>
                <w:rFonts w:ascii="宋体" w:hAnsi="宋体"/>
                <w:color w:val="000000"/>
                <w:sz w:val="24"/>
              </w:rPr>
            </w:pPr>
            <w:r>
              <w:rPr>
                <w:rFonts w:hint="eastAsia" w:ascii="宋体" w:hAnsi="宋体"/>
                <w:b/>
                <w:bCs/>
                <w:color w:val="000000"/>
                <w:sz w:val="24"/>
              </w:rPr>
              <w:t>安全可靠。</w:t>
            </w:r>
            <w:r>
              <w:rPr>
                <w:rFonts w:hint="eastAsia" w:ascii="宋体" w:hAnsi="宋体"/>
                <w:color w:val="000000"/>
                <w:sz w:val="24"/>
              </w:rPr>
              <w:t>交通基础设施耐久性和有效性显著增强，设施安全隐患防治能力大幅提升。交通网络韧性和应对各类重大风险能力显著提升，重要物资运输高效可靠。基本建成水陆联动立体协同的交通安全监管和救助体系，有效保障人民生命财产安全。</w:t>
            </w:r>
          </w:p>
        </w:tc>
      </w:tr>
    </w:tbl>
    <w:p>
      <w:pPr>
        <w:pStyle w:val="2"/>
        <w:ind w:firstLine="0" w:firstLineChars="0"/>
        <w:jc w:val="center"/>
        <w:rPr>
          <w:rFonts w:hint="eastAsia" w:ascii="黑体" w:hAnsi="黑体" w:eastAsia="黑体"/>
          <w:b/>
          <w:bCs/>
        </w:rPr>
      </w:pPr>
    </w:p>
    <w:p>
      <w:pPr>
        <w:pStyle w:val="2"/>
        <w:ind w:firstLine="0" w:firstLineChars="0"/>
        <w:jc w:val="center"/>
        <w:rPr>
          <w:rFonts w:hint="eastAsia" w:ascii="黑体" w:hAnsi="黑体" w:eastAsia="黑体"/>
          <w:b/>
          <w:bCs/>
        </w:rPr>
      </w:pPr>
      <w:r>
        <w:rPr>
          <w:rFonts w:hint="eastAsia" w:ascii="黑体" w:hAnsi="黑体" w:eastAsia="黑体"/>
          <w:b/>
          <w:bCs/>
        </w:rPr>
        <w:t>赣州市综合立体交通网</w:t>
      </w:r>
      <w:r>
        <w:rPr>
          <w:rFonts w:hint="eastAsia" w:ascii="Times New Roman" w:hAnsi="Times New Roman" w:eastAsia="黑体"/>
          <w:b/>
          <w:bCs/>
        </w:rPr>
        <w:t>2</w:t>
      </w:r>
      <w:r>
        <w:rPr>
          <w:rFonts w:ascii="Times New Roman" w:hAnsi="Times New Roman" w:eastAsia="黑体"/>
          <w:b/>
          <w:bCs/>
        </w:rPr>
        <w:t>035</w:t>
      </w:r>
      <w:r>
        <w:rPr>
          <w:rFonts w:hint="eastAsia" w:ascii="黑体" w:hAnsi="黑体" w:eastAsia="黑体"/>
          <w:b/>
          <w:bCs/>
        </w:rPr>
        <w:t>年主要指标</w:t>
      </w:r>
    </w:p>
    <w:tbl>
      <w:tblPr>
        <w:tblStyle w:val="13"/>
        <w:tblW w:w="5000" w:type="pct"/>
        <w:jc w:val="center"/>
        <w:tblLayout w:type="autofit"/>
        <w:tblCellMar>
          <w:top w:w="0" w:type="dxa"/>
          <w:left w:w="108" w:type="dxa"/>
          <w:bottom w:w="0" w:type="dxa"/>
          <w:right w:w="108" w:type="dxa"/>
        </w:tblCellMar>
      </w:tblPr>
      <w:tblGrid>
        <w:gridCol w:w="696"/>
        <w:gridCol w:w="1176"/>
        <w:gridCol w:w="5900"/>
        <w:gridCol w:w="1176"/>
      </w:tblGrid>
      <w:tr>
        <w:tblPrEx>
          <w:tblCellMar>
            <w:top w:w="0" w:type="dxa"/>
            <w:left w:w="108" w:type="dxa"/>
            <w:bottom w:w="0" w:type="dxa"/>
            <w:right w:w="108" w:type="dxa"/>
          </w:tblCellMar>
        </w:tblPrEx>
        <w:trPr>
          <w:trHeight w:val="709" w:hRule="exact"/>
          <w:jc w:val="center"/>
        </w:trPr>
        <w:tc>
          <w:tcPr>
            <w:tcW w:w="352"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黑体" w:hAnsi="黑体" w:eastAsia="黑体" w:cs="宋体"/>
                <w:color w:val="000000"/>
                <w:kern w:val="0"/>
                <w:sz w:val="24"/>
              </w:rPr>
            </w:pPr>
            <w:r>
              <w:rPr>
                <w:rFonts w:hint="eastAsia" w:ascii="黑体" w:hAnsi="黑体" w:eastAsia="黑体" w:cs="宋体"/>
                <w:color w:val="000000"/>
                <w:kern w:val="0"/>
                <w:sz w:val="24"/>
              </w:rPr>
              <w:t>序号</w:t>
            </w:r>
          </w:p>
        </w:tc>
        <w:tc>
          <w:tcPr>
            <w:tcW w:w="4053" w:type="pct"/>
            <w:gridSpan w:val="2"/>
            <w:tcBorders>
              <w:top w:val="single" w:color="auto" w:sz="4" w:space="0"/>
              <w:left w:val="nil"/>
              <w:bottom w:val="single" w:color="auto" w:sz="4" w:space="0"/>
              <w:right w:val="single" w:color="auto" w:sz="4" w:space="0"/>
            </w:tcBorders>
            <w:noWrap/>
            <w:vAlign w:val="center"/>
          </w:tcPr>
          <w:p>
            <w:pPr>
              <w:widowControl/>
              <w:jc w:val="center"/>
              <w:rPr>
                <w:rFonts w:hint="eastAsia" w:ascii="黑体" w:hAnsi="黑体" w:eastAsia="黑体" w:cs="宋体"/>
                <w:color w:val="000000"/>
                <w:kern w:val="0"/>
                <w:sz w:val="24"/>
              </w:rPr>
            </w:pPr>
            <w:r>
              <w:rPr>
                <w:rFonts w:hint="eastAsia" w:ascii="黑体" w:hAnsi="黑体" w:eastAsia="黑体" w:cs="宋体"/>
                <w:color w:val="000000"/>
                <w:kern w:val="0"/>
                <w:sz w:val="24"/>
              </w:rPr>
              <w:t xml:space="preserve">指 </w:t>
            </w:r>
            <w:r>
              <w:rPr>
                <w:rFonts w:ascii="黑体" w:hAnsi="黑体" w:eastAsia="黑体" w:cs="宋体"/>
                <w:color w:val="000000"/>
                <w:kern w:val="0"/>
                <w:sz w:val="24"/>
              </w:rPr>
              <w:t xml:space="preserve">               </w:t>
            </w:r>
            <w:r>
              <w:rPr>
                <w:rFonts w:hint="eastAsia" w:ascii="黑体" w:hAnsi="黑体" w:eastAsia="黑体" w:cs="宋体"/>
                <w:color w:val="000000"/>
                <w:kern w:val="0"/>
                <w:sz w:val="24"/>
              </w:rPr>
              <w:t>标</w:t>
            </w:r>
          </w:p>
        </w:tc>
        <w:tc>
          <w:tcPr>
            <w:tcW w:w="595" w:type="pct"/>
            <w:tcBorders>
              <w:top w:val="single" w:color="auto" w:sz="4" w:space="0"/>
              <w:left w:val="nil"/>
              <w:bottom w:val="single" w:color="auto" w:sz="4" w:space="0"/>
              <w:right w:val="single" w:color="auto" w:sz="4" w:space="0"/>
            </w:tcBorders>
            <w:noWrap/>
            <w:vAlign w:val="center"/>
          </w:tcPr>
          <w:p>
            <w:pPr>
              <w:widowControl/>
              <w:jc w:val="center"/>
              <w:rPr>
                <w:rFonts w:hint="eastAsia" w:ascii="黑体" w:hAnsi="黑体" w:eastAsia="黑体" w:cs="宋体"/>
                <w:color w:val="000000"/>
                <w:kern w:val="0"/>
                <w:sz w:val="24"/>
              </w:rPr>
            </w:pPr>
            <w:r>
              <w:rPr>
                <w:rFonts w:hint="eastAsia" w:ascii="黑体" w:hAnsi="黑体" w:eastAsia="黑体" w:cs="宋体"/>
                <w:color w:val="000000"/>
                <w:kern w:val="0"/>
                <w:sz w:val="24"/>
              </w:rPr>
              <w:t>目标值</w:t>
            </w:r>
          </w:p>
        </w:tc>
      </w:tr>
      <w:tr>
        <w:tblPrEx>
          <w:tblCellMar>
            <w:top w:w="0" w:type="dxa"/>
            <w:left w:w="108" w:type="dxa"/>
            <w:bottom w:w="0" w:type="dxa"/>
            <w:right w:w="108" w:type="dxa"/>
          </w:tblCellMar>
        </w:tblPrEx>
        <w:trPr>
          <w:trHeight w:val="709" w:hRule="exact"/>
          <w:jc w:val="center"/>
        </w:trPr>
        <w:tc>
          <w:tcPr>
            <w:tcW w:w="352" w:type="pct"/>
            <w:tcBorders>
              <w:top w:val="nil"/>
              <w:left w:val="single" w:color="auto" w:sz="4" w:space="0"/>
              <w:bottom w:val="single" w:color="auto" w:sz="4" w:space="0"/>
              <w:right w:val="single" w:color="auto" w:sz="4" w:space="0"/>
            </w:tcBorders>
            <w:noWrap/>
            <w:vAlign w:val="center"/>
          </w:tcPr>
          <w:p>
            <w:pPr>
              <w:widowControl/>
              <w:jc w:val="center"/>
              <w:rPr>
                <w:rFonts w:hint="eastAsia" w:cs="宋体"/>
                <w:color w:val="000000"/>
                <w:kern w:val="0"/>
                <w:sz w:val="24"/>
              </w:rPr>
            </w:pPr>
            <w:r>
              <w:rPr>
                <w:rFonts w:cs="宋体"/>
                <w:color w:val="000000"/>
                <w:kern w:val="0"/>
                <w:sz w:val="24"/>
              </w:rPr>
              <w:t>1</w:t>
            </w:r>
          </w:p>
        </w:tc>
        <w:tc>
          <w:tcPr>
            <w:tcW w:w="591" w:type="pct"/>
            <w:vMerge w:val="restart"/>
            <w:tcBorders>
              <w:top w:val="nil"/>
              <w:left w:val="single" w:color="auto" w:sz="4" w:space="0"/>
              <w:bottom w:val="single" w:color="auto" w:sz="4" w:space="0"/>
              <w:right w:val="single" w:color="auto" w:sz="4" w:space="0"/>
            </w:tcBorders>
            <w:noWrap w:val="0"/>
            <w:vAlign w:val="center"/>
          </w:tcPr>
          <w:p>
            <w:pPr>
              <w:widowControl/>
              <w:jc w:val="left"/>
              <w:rPr>
                <w:rFonts w:cs="宋体"/>
                <w:color w:val="000000"/>
                <w:kern w:val="0"/>
                <w:sz w:val="24"/>
              </w:rPr>
            </w:pPr>
            <w:r>
              <w:rPr>
                <w:rFonts w:hint="eastAsia" w:cs="宋体"/>
                <w:color w:val="000000"/>
                <w:kern w:val="0"/>
                <w:sz w:val="24"/>
              </w:rPr>
              <w:t>布局完善</w:t>
            </w:r>
          </w:p>
        </w:tc>
        <w:tc>
          <w:tcPr>
            <w:tcW w:w="3461" w:type="pct"/>
            <w:tcBorders>
              <w:top w:val="nil"/>
              <w:left w:val="nil"/>
              <w:bottom w:val="single" w:color="auto" w:sz="4" w:space="0"/>
              <w:right w:val="single" w:color="auto" w:sz="4" w:space="0"/>
            </w:tcBorders>
            <w:noWrap/>
            <w:vAlign w:val="center"/>
          </w:tcPr>
          <w:p>
            <w:pPr>
              <w:widowControl/>
              <w:jc w:val="left"/>
              <w:rPr>
                <w:rFonts w:hint="eastAsia" w:cs="宋体"/>
                <w:color w:val="000000"/>
                <w:kern w:val="0"/>
                <w:sz w:val="24"/>
              </w:rPr>
            </w:pPr>
            <w:r>
              <w:rPr>
                <w:rFonts w:hint="eastAsia" w:cs="宋体"/>
                <w:color w:val="000000"/>
                <w:kern w:val="0"/>
                <w:sz w:val="24"/>
              </w:rPr>
              <w:t>县（市、区）铁路覆盖率</w:t>
            </w:r>
          </w:p>
        </w:tc>
        <w:tc>
          <w:tcPr>
            <w:tcW w:w="595" w:type="pct"/>
            <w:tcBorders>
              <w:top w:val="nil"/>
              <w:left w:val="nil"/>
              <w:bottom w:val="single" w:color="auto" w:sz="4" w:space="0"/>
              <w:right w:val="single" w:color="auto" w:sz="4" w:space="0"/>
            </w:tcBorders>
            <w:noWrap/>
            <w:vAlign w:val="center"/>
          </w:tcPr>
          <w:p>
            <w:pPr>
              <w:widowControl/>
              <w:jc w:val="center"/>
              <w:rPr>
                <w:rFonts w:hint="eastAsia" w:cs="宋体"/>
                <w:color w:val="000000"/>
                <w:kern w:val="0"/>
                <w:sz w:val="24"/>
              </w:rPr>
            </w:pPr>
            <w:r>
              <w:rPr>
                <w:rFonts w:hint="eastAsia" w:cs="宋体"/>
                <w:color w:val="000000"/>
                <w:kern w:val="0"/>
                <w:sz w:val="24"/>
              </w:rPr>
              <w:t>90%以上</w:t>
            </w:r>
          </w:p>
        </w:tc>
      </w:tr>
      <w:tr>
        <w:tblPrEx>
          <w:tblCellMar>
            <w:top w:w="0" w:type="dxa"/>
            <w:left w:w="108" w:type="dxa"/>
            <w:bottom w:w="0" w:type="dxa"/>
            <w:right w:w="108" w:type="dxa"/>
          </w:tblCellMar>
        </w:tblPrEx>
        <w:trPr>
          <w:trHeight w:val="709" w:hRule="exact"/>
          <w:jc w:val="center"/>
        </w:trPr>
        <w:tc>
          <w:tcPr>
            <w:tcW w:w="352" w:type="pct"/>
            <w:tcBorders>
              <w:top w:val="nil"/>
              <w:left w:val="single" w:color="auto" w:sz="4" w:space="0"/>
              <w:bottom w:val="single" w:color="auto" w:sz="4" w:space="0"/>
              <w:right w:val="single" w:color="auto" w:sz="4" w:space="0"/>
            </w:tcBorders>
            <w:noWrap/>
            <w:vAlign w:val="center"/>
          </w:tcPr>
          <w:p>
            <w:pPr>
              <w:widowControl/>
              <w:jc w:val="center"/>
              <w:rPr>
                <w:rFonts w:hint="eastAsia" w:cs="宋体"/>
                <w:color w:val="000000"/>
                <w:kern w:val="0"/>
                <w:sz w:val="24"/>
              </w:rPr>
            </w:pPr>
            <w:r>
              <w:rPr>
                <w:rFonts w:cs="宋体"/>
                <w:color w:val="000000"/>
                <w:kern w:val="0"/>
                <w:sz w:val="24"/>
              </w:rPr>
              <w:t>2</w:t>
            </w:r>
          </w:p>
        </w:tc>
        <w:tc>
          <w:tcPr>
            <w:tcW w:w="591"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cs="宋体"/>
                <w:color w:val="000000"/>
                <w:kern w:val="0"/>
                <w:sz w:val="24"/>
              </w:rPr>
            </w:pPr>
          </w:p>
        </w:tc>
        <w:tc>
          <w:tcPr>
            <w:tcW w:w="3461" w:type="pct"/>
            <w:tcBorders>
              <w:top w:val="nil"/>
              <w:left w:val="nil"/>
              <w:bottom w:val="single" w:color="auto" w:sz="4" w:space="0"/>
              <w:right w:val="single" w:color="auto" w:sz="4" w:space="0"/>
            </w:tcBorders>
            <w:noWrap/>
            <w:vAlign w:val="center"/>
          </w:tcPr>
          <w:p>
            <w:pPr>
              <w:widowControl/>
              <w:jc w:val="left"/>
              <w:rPr>
                <w:rFonts w:hint="eastAsia" w:cs="宋体"/>
                <w:color w:val="000000"/>
                <w:kern w:val="0"/>
                <w:sz w:val="24"/>
              </w:rPr>
            </w:pPr>
            <w:r>
              <w:rPr>
                <w:rFonts w:hint="eastAsia" w:cs="宋体"/>
                <w:color w:val="000000"/>
                <w:kern w:val="0"/>
                <w:sz w:val="24"/>
              </w:rPr>
              <w:t>高速公路10万人以上城镇覆盖率</w:t>
            </w:r>
          </w:p>
        </w:tc>
        <w:tc>
          <w:tcPr>
            <w:tcW w:w="595" w:type="pct"/>
            <w:tcBorders>
              <w:top w:val="nil"/>
              <w:left w:val="nil"/>
              <w:bottom w:val="single" w:color="auto" w:sz="4" w:space="0"/>
              <w:right w:val="single" w:color="auto" w:sz="4" w:space="0"/>
            </w:tcBorders>
            <w:noWrap/>
            <w:vAlign w:val="center"/>
          </w:tcPr>
          <w:p>
            <w:pPr>
              <w:widowControl/>
              <w:jc w:val="center"/>
              <w:rPr>
                <w:rFonts w:hint="eastAsia" w:cs="宋体"/>
                <w:color w:val="000000"/>
                <w:kern w:val="0"/>
                <w:sz w:val="24"/>
              </w:rPr>
            </w:pPr>
            <w:r>
              <w:rPr>
                <w:rFonts w:hint="eastAsia" w:cs="宋体"/>
                <w:color w:val="000000"/>
                <w:kern w:val="0"/>
                <w:sz w:val="24"/>
              </w:rPr>
              <w:t>100%</w:t>
            </w:r>
          </w:p>
        </w:tc>
      </w:tr>
      <w:tr>
        <w:tblPrEx>
          <w:tblCellMar>
            <w:top w:w="0" w:type="dxa"/>
            <w:left w:w="108" w:type="dxa"/>
            <w:bottom w:w="0" w:type="dxa"/>
            <w:right w:w="108" w:type="dxa"/>
          </w:tblCellMar>
        </w:tblPrEx>
        <w:trPr>
          <w:trHeight w:val="709" w:hRule="exact"/>
          <w:jc w:val="center"/>
        </w:trPr>
        <w:tc>
          <w:tcPr>
            <w:tcW w:w="352" w:type="pct"/>
            <w:tcBorders>
              <w:top w:val="nil"/>
              <w:left w:val="single" w:color="auto" w:sz="4" w:space="0"/>
              <w:bottom w:val="single" w:color="auto" w:sz="4" w:space="0"/>
              <w:right w:val="single" w:color="auto" w:sz="4" w:space="0"/>
            </w:tcBorders>
            <w:noWrap/>
            <w:vAlign w:val="center"/>
          </w:tcPr>
          <w:p>
            <w:pPr>
              <w:widowControl/>
              <w:jc w:val="center"/>
              <w:rPr>
                <w:rFonts w:hint="eastAsia" w:cs="宋体"/>
                <w:color w:val="000000"/>
                <w:kern w:val="0"/>
                <w:sz w:val="24"/>
              </w:rPr>
            </w:pPr>
            <w:r>
              <w:rPr>
                <w:rFonts w:cs="宋体"/>
                <w:color w:val="000000"/>
                <w:kern w:val="0"/>
                <w:sz w:val="24"/>
              </w:rPr>
              <w:t>3</w:t>
            </w:r>
          </w:p>
        </w:tc>
        <w:tc>
          <w:tcPr>
            <w:tcW w:w="591"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cs="宋体"/>
                <w:color w:val="000000"/>
                <w:kern w:val="0"/>
                <w:sz w:val="24"/>
              </w:rPr>
            </w:pPr>
          </w:p>
        </w:tc>
        <w:tc>
          <w:tcPr>
            <w:tcW w:w="3461" w:type="pct"/>
            <w:tcBorders>
              <w:top w:val="nil"/>
              <w:left w:val="nil"/>
              <w:bottom w:val="single" w:color="auto" w:sz="4" w:space="0"/>
              <w:right w:val="single" w:color="auto" w:sz="4" w:space="0"/>
            </w:tcBorders>
            <w:noWrap/>
            <w:vAlign w:val="center"/>
          </w:tcPr>
          <w:p>
            <w:pPr>
              <w:widowControl/>
              <w:jc w:val="left"/>
              <w:rPr>
                <w:rFonts w:hint="eastAsia" w:cs="宋体"/>
                <w:color w:val="000000"/>
                <w:kern w:val="0"/>
                <w:sz w:val="24"/>
              </w:rPr>
            </w:pPr>
            <w:r>
              <w:rPr>
                <w:rFonts w:hint="eastAsia" w:cs="宋体"/>
                <w:color w:val="000000"/>
                <w:kern w:val="0"/>
                <w:sz w:val="24"/>
              </w:rPr>
              <w:t>三级及以上等级公路乡镇覆盖率</w:t>
            </w:r>
          </w:p>
        </w:tc>
        <w:tc>
          <w:tcPr>
            <w:tcW w:w="595" w:type="pct"/>
            <w:tcBorders>
              <w:top w:val="nil"/>
              <w:left w:val="nil"/>
              <w:bottom w:val="single" w:color="auto" w:sz="4" w:space="0"/>
              <w:right w:val="single" w:color="auto" w:sz="4" w:space="0"/>
            </w:tcBorders>
            <w:noWrap/>
            <w:vAlign w:val="center"/>
          </w:tcPr>
          <w:p>
            <w:pPr>
              <w:widowControl/>
              <w:jc w:val="center"/>
              <w:rPr>
                <w:rFonts w:hint="eastAsia" w:cs="宋体"/>
                <w:color w:val="000000"/>
                <w:kern w:val="0"/>
                <w:sz w:val="24"/>
              </w:rPr>
            </w:pPr>
            <w:r>
              <w:rPr>
                <w:rFonts w:cs="宋体"/>
                <w:color w:val="000000"/>
                <w:kern w:val="0"/>
                <w:sz w:val="24"/>
              </w:rPr>
              <w:t>10</w:t>
            </w:r>
            <w:r>
              <w:rPr>
                <w:rFonts w:hint="eastAsia" w:cs="宋体"/>
                <w:color w:val="000000"/>
                <w:kern w:val="0"/>
                <w:sz w:val="24"/>
              </w:rPr>
              <w:t>0%</w:t>
            </w:r>
          </w:p>
        </w:tc>
      </w:tr>
      <w:tr>
        <w:tblPrEx>
          <w:tblCellMar>
            <w:top w:w="0" w:type="dxa"/>
            <w:left w:w="108" w:type="dxa"/>
            <w:bottom w:w="0" w:type="dxa"/>
            <w:right w:w="108" w:type="dxa"/>
          </w:tblCellMar>
        </w:tblPrEx>
        <w:trPr>
          <w:trHeight w:val="709" w:hRule="exact"/>
          <w:jc w:val="center"/>
        </w:trPr>
        <w:tc>
          <w:tcPr>
            <w:tcW w:w="352" w:type="pct"/>
            <w:tcBorders>
              <w:top w:val="nil"/>
              <w:left w:val="single" w:color="auto" w:sz="4" w:space="0"/>
              <w:bottom w:val="single" w:color="auto" w:sz="4" w:space="0"/>
              <w:right w:val="single" w:color="auto" w:sz="4" w:space="0"/>
            </w:tcBorders>
            <w:noWrap/>
            <w:vAlign w:val="center"/>
          </w:tcPr>
          <w:p>
            <w:pPr>
              <w:widowControl/>
              <w:jc w:val="center"/>
              <w:rPr>
                <w:rFonts w:hint="eastAsia" w:cs="宋体"/>
                <w:color w:val="000000"/>
                <w:kern w:val="0"/>
                <w:sz w:val="24"/>
              </w:rPr>
            </w:pPr>
            <w:r>
              <w:rPr>
                <w:rFonts w:cs="宋体"/>
                <w:color w:val="000000"/>
                <w:kern w:val="0"/>
                <w:sz w:val="24"/>
              </w:rPr>
              <w:t>4</w:t>
            </w:r>
          </w:p>
        </w:tc>
        <w:tc>
          <w:tcPr>
            <w:tcW w:w="591"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cs="宋体"/>
                <w:color w:val="000000"/>
                <w:kern w:val="0"/>
                <w:sz w:val="24"/>
              </w:rPr>
            </w:pPr>
          </w:p>
        </w:tc>
        <w:tc>
          <w:tcPr>
            <w:tcW w:w="3461" w:type="pct"/>
            <w:tcBorders>
              <w:top w:val="nil"/>
              <w:left w:val="nil"/>
              <w:bottom w:val="single" w:color="auto" w:sz="4" w:space="0"/>
              <w:right w:val="single" w:color="auto" w:sz="4" w:space="0"/>
            </w:tcBorders>
            <w:noWrap/>
            <w:vAlign w:val="center"/>
          </w:tcPr>
          <w:p>
            <w:pPr>
              <w:widowControl/>
              <w:jc w:val="left"/>
              <w:rPr>
                <w:rFonts w:hint="eastAsia" w:cs="宋体"/>
                <w:color w:val="000000"/>
                <w:kern w:val="0"/>
                <w:sz w:val="24"/>
              </w:rPr>
            </w:pPr>
            <w:r>
              <w:rPr>
                <w:rFonts w:hint="eastAsia" w:cs="宋体"/>
                <w:color w:val="000000"/>
                <w:kern w:val="0"/>
                <w:sz w:val="24"/>
              </w:rPr>
              <w:t>建制村通双车道公路比例</w:t>
            </w:r>
          </w:p>
        </w:tc>
        <w:tc>
          <w:tcPr>
            <w:tcW w:w="595" w:type="pct"/>
            <w:tcBorders>
              <w:top w:val="nil"/>
              <w:left w:val="nil"/>
              <w:bottom w:val="single" w:color="auto" w:sz="4" w:space="0"/>
              <w:right w:val="single" w:color="auto" w:sz="4" w:space="0"/>
            </w:tcBorders>
            <w:noWrap/>
            <w:vAlign w:val="center"/>
          </w:tcPr>
          <w:p>
            <w:pPr>
              <w:widowControl/>
              <w:jc w:val="center"/>
              <w:rPr>
                <w:rFonts w:hint="eastAsia" w:cs="宋体"/>
                <w:color w:val="000000"/>
                <w:kern w:val="0"/>
                <w:sz w:val="24"/>
              </w:rPr>
            </w:pPr>
            <w:r>
              <w:rPr>
                <w:rFonts w:hint="eastAsia" w:cs="宋体"/>
                <w:color w:val="000000"/>
                <w:kern w:val="0"/>
                <w:sz w:val="24"/>
              </w:rPr>
              <w:t>95%</w:t>
            </w:r>
          </w:p>
        </w:tc>
      </w:tr>
      <w:tr>
        <w:tblPrEx>
          <w:tblCellMar>
            <w:top w:w="0" w:type="dxa"/>
            <w:left w:w="108" w:type="dxa"/>
            <w:bottom w:w="0" w:type="dxa"/>
            <w:right w:w="108" w:type="dxa"/>
          </w:tblCellMar>
        </w:tblPrEx>
        <w:trPr>
          <w:trHeight w:val="709" w:hRule="exact"/>
          <w:jc w:val="center"/>
        </w:trPr>
        <w:tc>
          <w:tcPr>
            <w:tcW w:w="352" w:type="pct"/>
            <w:tcBorders>
              <w:top w:val="nil"/>
              <w:left w:val="single" w:color="auto" w:sz="4" w:space="0"/>
              <w:bottom w:val="single" w:color="auto" w:sz="4" w:space="0"/>
              <w:right w:val="single" w:color="auto" w:sz="4" w:space="0"/>
            </w:tcBorders>
            <w:noWrap/>
            <w:vAlign w:val="center"/>
          </w:tcPr>
          <w:p>
            <w:pPr>
              <w:widowControl/>
              <w:jc w:val="center"/>
              <w:rPr>
                <w:rFonts w:hint="eastAsia" w:cs="宋体"/>
                <w:color w:val="000000"/>
                <w:kern w:val="0"/>
                <w:sz w:val="24"/>
              </w:rPr>
            </w:pPr>
            <w:r>
              <w:rPr>
                <w:rFonts w:cs="宋体"/>
                <w:color w:val="000000"/>
                <w:kern w:val="0"/>
                <w:sz w:val="24"/>
              </w:rPr>
              <w:t>5</w:t>
            </w:r>
          </w:p>
        </w:tc>
        <w:tc>
          <w:tcPr>
            <w:tcW w:w="591"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cs="宋体"/>
                <w:color w:val="000000"/>
                <w:kern w:val="0"/>
                <w:sz w:val="24"/>
              </w:rPr>
            </w:pPr>
          </w:p>
        </w:tc>
        <w:tc>
          <w:tcPr>
            <w:tcW w:w="3461" w:type="pct"/>
            <w:tcBorders>
              <w:top w:val="nil"/>
              <w:left w:val="nil"/>
              <w:bottom w:val="single" w:color="auto" w:sz="4" w:space="0"/>
              <w:right w:val="single" w:color="auto" w:sz="4" w:space="0"/>
            </w:tcBorders>
            <w:noWrap/>
            <w:vAlign w:val="center"/>
          </w:tcPr>
          <w:p>
            <w:pPr>
              <w:widowControl/>
              <w:jc w:val="left"/>
              <w:rPr>
                <w:rFonts w:hint="eastAsia" w:cs="宋体"/>
                <w:color w:val="000000"/>
                <w:kern w:val="0"/>
                <w:sz w:val="24"/>
              </w:rPr>
            </w:pPr>
            <w:r>
              <w:rPr>
                <w:rFonts w:hint="eastAsia" w:cs="宋体"/>
                <w:color w:val="000000"/>
                <w:kern w:val="0"/>
                <w:sz w:val="24"/>
              </w:rPr>
              <w:t>建制村通邮政快递网点覆盖率</w:t>
            </w:r>
          </w:p>
        </w:tc>
        <w:tc>
          <w:tcPr>
            <w:tcW w:w="595" w:type="pct"/>
            <w:tcBorders>
              <w:top w:val="nil"/>
              <w:left w:val="nil"/>
              <w:bottom w:val="single" w:color="auto" w:sz="4" w:space="0"/>
              <w:right w:val="single" w:color="auto" w:sz="4" w:space="0"/>
            </w:tcBorders>
            <w:noWrap/>
            <w:vAlign w:val="center"/>
          </w:tcPr>
          <w:p>
            <w:pPr>
              <w:widowControl/>
              <w:jc w:val="center"/>
              <w:rPr>
                <w:rFonts w:hint="eastAsia" w:cs="宋体"/>
                <w:color w:val="000000"/>
                <w:kern w:val="0"/>
                <w:sz w:val="24"/>
              </w:rPr>
            </w:pPr>
            <w:r>
              <w:rPr>
                <w:rFonts w:hint="eastAsia" w:cs="宋体"/>
                <w:color w:val="000000"/>
                <w:kern w:val="0"/>
                <w:sz w:val="24"/>
              </w:rPr>
              <w:t>100%</w:t>
            </w:r>
          </w:p>
        </w:tc>
      </w:tr>
      <w:tr>
        <w:tblPrEx>
          <w:tblCellMar>
            <w:top w:w="0" w:type="dxa"/>
            <w:left w:w="108" w:type="dxa"/>
            <w:bottom w:w="0" w:type="dxa"/>
            <w:right w:w="108" w:type="dxa"/>
          </w:tblCellMar>
        </w:tblPrEx>
        <w:trPr>
          <w:trHeight w:val="709" w:hRule="exact"/>
          <w:jc w:val="center"/>
        </w:trPr>
        <w:tc>
          <w:tcPr>
            <w:tcW w:w="352" w:type="pct"/>
            <w:tcBorders>
              <w:top w:val="nil"/>
              <w:left w:val="single" w:color="auto" w:sz="4" w:space="0"/>
              <w:bottom w:val="single" w:color="auto" w:sz="4" w:space="0"/>
              <w:right w:val="single" w:color="auto" w:sz="4" w:space="0"/>
            </w:tcBorders>
            <w:noWrap/>
            <w:vAlign w:val="center"/>
          </w:tcPr>
          <w:p>
            <w:pPr>
              <w:widowControl/>
              <w:jc w:val="center"/>
              <w:rPr>
                <w:rFonts w:hint="eastAsia" w:cs="宋体"/>
                <w:color w:val="000000"/>
                <w:kern w:val="0"/>
                <w:sz w:val="24"/>
              </w:rPr>
            </w:pPr>
            <w:r>
              <w:rPr>
                <w:rFonts w:cs="宋体"/>
                <w:color w:val="000000"/>
                <w:kern w:val="0"/>
                <w:sz w:val="24"/>
              </w:rPr>
              <w:t>6</w:t>
            </w:r>
          </w:p>
        </w:tc>
        <w:tc>
          <w:tcPr>
            <w:tcW w:w="591" w:type="pct"/>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cs="宋体"/>
                <w:color w:val="000000"/>
                <w:kern w:val="0"/>
                <w:sz w:val="24"/>
              </w:rPr>
            </w:pPr>
            <w:r>
              <w:rPr>
                <w:rFonts w:hint="eastAsia" w:cs="宋体"/>
                <w:color w:val="000000"/>
                <w:kern w:val="0"/>
                <w:sz w:val="24"/>
              </w:rPr>
              <w:t>便捷顺畅</w:t>
            </w:r>
          </w:p>
        </w:tc>
        <w:tc>
          <w:tcPr>
            <w:tcW w:w="3461" w:type="pct"/>
            <w:tcBorders>
              <w:top w:val="nil"/>
              <w:left w:val="nil"/>
              <w:bottom w:val="single" w:color="auto" w:sz="4" w:space="0"/>
              <w:right w:val="single" w:color="auto" w:sz="4" w:space="0"/>
            </w:tcBorders>
            <w:noWrap/>
            <w:vAlign w:val="center"/>
          </w:tcPr>
          <w:p>
            <w:pPr>
              <w:widowControl/>
              <w:jc w:val="left"/>
              <w:rPr>
                <w:rFonts w:hint="eastAsia" w:cs="宋体"/>
                <w:color w:val="000000"/>
                <w:kern w:val="0"/>
                <w:sz w:val="24"/>
              </w:rPr>
            </w:pPr>
            <w:r>
              <w:rPr>
                <w:rFonts w:hint="eastAsia" w:cs="宋体"/>
                <w:color w:val="000000"/>
                <w:kern w:val="0"/>
                <w:sz w:val="24"/>
              </w:rPr>
              <w:t>享受一小时内快速交通服务的人口占比</w:t>
            </w:r>
          </w:p>
        </w:tc>
        <w:tc>
          <w:tcPr>
            <w:tcW w:w="595" w:type="pct"/>
            <w:tcBorders>
              <w:top w:val="nil"/>
              <w:left w:val="nil"/>
              <w:bottom w:val="single" w:color="auto" w:sz="4" w:space="0"/>
              <w:right w:val="single" w:color="auto" w:sz="4" w:space="0"/>
            </w:tcBorders>
            <w:noWrap/>
            <w:vAlign w:val="center"/>
          </w:tcPr>
          <w:p>
            <w:pPr>
              <w:widowControl/>
              <w:jc w:val="center"/>
              <w:rPr>
                <w:rFonts w:hint="eastAsia" w:cs="宋体"/>
                <w:color w:val="000000"/>
                <w:kern w:val="0"/>
                <w:sz w:val="24"/>
              </w:rPr>
            </w:pPr>
            <w:r>
              <w:rPr>
                <w:rFonts w:hint="eastAsia" w:cs="宋体"/>
                <w:color w:val="000000"/>
                <w:kern w:val="0"/>
                <w:sz w:val="24"/>
              </w:rPr>
              <w:t>80%以上</w:t>
            </w:r>
          </w:p>
        </w:tc>
      </w:tr>
      <w:tr>
        <w:tblPrEx>
          <w:tblCellMar>
            <w:top w:w="0" w:type="dxa"/>
            <w:left w:w="108" w:type="dxa"/>
            <w:bottom w:w="0" w:type="dxa"/>
            <w:right w:w="108" w:type="dxa"/>
          </w:tblCellMar>
        </w:tblPrEx>
        <w:trPr>
          <w:trHeight w:val="709" w:hRule="exact"/>
          <w:jc w:val="center"/>
        </w:trPr>
        <w:tc>
          <w:tcPr>
            <w:tcW w:w="352" w:type="pct"/>
            <w:tcBorders>
              <w:top w:val="nil"/>
              <w:left w:val="single" w:color="auto" w:sz="4" w:space="0"/>
              <w:bottom w:val="single" w:color="auto" w:sz="4" w:space="0"/>
              <w:right w:val="single" w:color="auto" w:sz="4" w:space="0"/>
            </w:tcBorders>
            <w:noWrap/>
            <w:vAlign w:val="center"/>
          </w:tcPr>
          <w:p>
            <w:pPr>
              <w:widowControl/>
              <w:jc w:val="center"/>
              <w:rPr>
                <w:rFonts w:hint="eastAsia" w:cs="宋体"/>
                <w:color w:val="000000"/>
                <w:kern w:val="0"/>
                <w:sz w:val="24"/>
              </w:rPr>
            </w:pPr>
            <w:r>
              <w:rPr>
                <w:rFonts w:cs="宋体"/>
                <w:color w:val="000000"/>
                <w:kern w:val="0"/>
                <w:sz w:val="24"/>
              </w:rPr>
              <w:t>7</w:t>
            </w:r>
          </w:p>
        </w:tc>
        <w:tc>
          <w:tcPr>
            <w:tcW w:w="591"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cs="宋体"/>
                <w:color w:val="000000"/>
                <w:kern w:val="0"/>
                <w:sz w:val="24"/>
              </w:rPr>
            </w:pPr>
          </w:p>
        </w:tc>
        <w:tc>
          <w:tcPr>
            <w:tcW w:w="3461" w:type="pct"/>
            <w:tcBorders>
              <w:top w:val="nil"/>
              <w:left w:val="nil"/>
              <w:bottom w:val="single" w:color="auto" w:sz="4" w:space="0"/>
              <w:right w:val="single" w:color="auto" w:sz="4" w:space="0"/>
            </w:tcBorders>
            <w:noWrap/>
            <w:vAlign w:val="center"/>
          </w:tcPr>
          <w:p>
            <w:pPr>
              <w:widowControl/>
              <w:jc w:val="left"/>
              <w:rPr>
                <w:rFonts w:hint="eastAsia" w:cs="宋体"/>
                <w:color w:val="000000"/>
                <w:kern w:val="0"/>
                <w:sz w:val="24"/>
              </w:rPr>
            </w:pPr>
            <w:r>
              <w:rPr>
                <w:rFonts w:hint="eastAsia" w:cs="宋体"/>
                <w:color w:val="000000"/>
                <w:kern w:val="0"/>
                <w:sz w:val="24"/>
              </w:rPr>
              <w:t>县（市、区）行政中心至综合客运枢纽半小时可达率</w:t>
            </w:r>
          </w:p>
        </w:tc>
        <w:tc>
          <w:tcPr>
            <w:tcW w:w="595" w:type="pct"/>
            <w:tcBorders>
              <w:top w:val="nil"/>
              <w:left w:val="nil"/>
              <w:bottom w:val="single" w:color="auto" w:sz="4" w:space="0"/>
              <w:right w:val="single" w:color="auto" w:sz="4" w:space="0"/>
            </w:tcBorders>
            <w:noWrap/>
            <w:vAlign w:val="center"/>
          </w:tcPr>
          <w:p>
            <w:pPr>
              <w:widowControl/>
              <w:jc w:val="center"/>
              <w:rPr>
                <w:rFonts w:hint="eastAsia" w:cs="宋体"/>
                <w:color w:val="000000"/>
                <w:kern w:val="0"/>
                <w:sz w:val="24"/>
              </w:rPr>
            </w:pPr>
            <w:r>
              <w:rPr>
                <w:rFonts w:hint="eastAsia" w:cs="宋体"/>
                <w:color w:val="000000"/>
                <w:kern w:val="0"/>
                <w:sz w:val="24"/>
              </w:rPr>
              <w:t>100%</w:t>
            </w:r>
          </w:p>
        </w:tc>
      </w:tr>
      <w:tr>
        <w:tblPrEx>
          <w:tblCellMar>
            <w:top w:w="0" w:type="dxa"/>
            <w:left w:w="108" w:type="dxa"/>
            <w:bottom w:w="0" w:type="dxa"/>
            <w:right w:w="108" w:type="dxa"/>
          </w:tblCellMar>
        </w:tblPrEx>
        <w:trPr>
          <w:trHeight w:val="709" w:hRule="exact"/>
          <w:jc w:val="center"/>
        </w:trPr>
        <w:tc>
          <w:tcPr>
            <w:tcW w:w="352" w:type="pct"/>
            <w:tcBorders>
              <w:top w:val="nil"/>
              <w:left w:val="single" w:color="auto" w:sz="4" w:space="0"/>
              <w:bottom w:val="single" w:color="auto" w:sz="4" w:space="0"/>
              <w:right w:val="single" w:color="auto" w:sz="4" w:space="0"/>
            </w:tcBorders>
            <w:noWrap/>
            <w:vAlign w:val="center"/>
          </w:tcPr>
          <w:p>
            <w:pPr>
              <w:widowControl/>
              <w:jc w:val="center"/>
              <w:rPr>
                <w:rFonts w:hint="eastAsia" w:cs="宋体"/>
                <w:color w:val="000000"/>
                <w:kern w:val="0"/>
                <w:sz w:val="24"/>
              </w:rPr>
            </w:pPr>
            <w:r>
              <w:rPr>
                <w:rFonts w:cs="宋体"/>
                <w:color w:val="000000"/>
                <w:kern w:val="0"/>
                <w:sz w:val="24"/>
              </w:rPr>
              <w:t>8</w:t>
            </w:r>
          </w:p>
        </w:tc>
        <w:tc>
          <w:tcPr>
            <w:tcW w:w="591"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cs="宋体"/>
                <w:color w:val="000000"/>
                <w:kern w:val="0"/>
                <w:sz w:val="24"/>
              </w:rPr>
            </w:pPr>
          </w:p>
        </w:tc>
        <w:tc>
          <w:tcPr>
            <w:tcW w:w="3461" w:type="pct"/>
            <w:tcBorders>
              <w:top w:val="nil"/>
              <w:left w:val="nil"/>
              <w:bottom w:val="single" w:color="auto" w:sz="4" w:space="0"/>
              <w:right w:val="single" w:color="auto" w:sz="4" w:space="0"/>
            </w:tcBorders>
            <w:noWrap/>
            <w:vAlign w:val="center"/>
          </w:tcPr>
          <w:p>
            <w:pPr>
              <w:widowControl/>
              <w:jc w:val="left"/>
              <w:rPr>
                <w:rFonts w:hint="eastAsia" w:cs="宋体"/>
                <w:color w:val="000000"/>
                <w:kern w:val="0"/>
                <w:sz w:val="24"/>
              </w:rPr>
            </w:pPr>
            <w:r>
              <w:rPr>
                <w:rFonts w:hint="eastAsia" w:cs="宋体"/>
                <w:color w:val="000000"/>
                <w:kern w:val="0"/>
                <w:sz w:val="24"/>
              </w:rPr>
              <w:t>主要港口铁路进港</w:t>
            </w:r>
          </w:p>
        </w:tc>
        <w:tc>
          <w:tcPr>
            <w:tcW w:w="595" w:type="pct"/>
            <w:tcBorders>
              <w:top w:val="nil"/>
              <w:left w:val="nil"/>
              <w:bottom w:val="single" w:color="auto" w:sz="4" w:space="0"/>
              <w:right w:val="single" w:color="auto" w:sz="4" w:space="0"/>
            </w:tcBorders>
            <w:noWrap/>
            <w:vAlign w:val="center"/>
          </w:tcPr>
          <w:p>
            <w:pPr>
              <w:widowControl/>
              <w:jc w:val="center"/>
              <w:rPr>
                <w:rFonts w:hint="eastAsia" w:cs="宋体"/>
                <w:color w:val="000000"/>
                <w:kern w:val="0"/>
                <w:sz w:val="24"/>
              </w:rPr>
            </w:pPr>
            <w:r>
              <w:rPr>
                <w:rFonts w:hint="eastAsia" w:cs="宋体"/>
                <w:color w:val="000000"/>
                <w:kern w:val="0"/>
                <w:sz w:val="24"/>
              </w:rPr>
              <w:t>100%</w:t>
            </w:r>
          </w:p>
        </w:tc>
      </w:tr>
      <w:tr>
        <w:tblPrEx>
          <w:tblCellMar>
            <w:top w:w="0" w:type="dxa"/>
            <w:left w:w="108" w:type="dxa"/>
            <w:bottom w:w="0" w:type="dxa"/>
            <w:right w:w="108" w:type="dxa"/>
          </w:tblCellMar>
        </w:tblPrEx>
        <w:trPr>
          <w:trHeight w:val="709" w:hRule="exact"/>
          <w:jc w:val="center"/>
        </w:trPr>
        <w:tc>
          <w:tcPr>
            <w:tcW w:w="352" w:type="pct"/>
            <w:tcBorders>
              <w:top w:val="nil"/>
              <w:left w:val="single" w:color="auto" w:sz="4" w:space="0"/>
              <w:bottom w:val="single" w:color="auto" w:sz="4" w:space="0"/>
              <w:right w:val="single" w:color="auto" w:sz="4" w:space="0"/>
            </w:tcBorders>
            <w:noWrap/>
            <w:vAlign w:val="center"/>
          </w:tcPr>
          <w:p>
            <w:pPr>
              <w:widowControl/>
              <w:jc w:val="center"/>
              <w:rPr>
                <w:rFonts w:hint="eastAsia" w:cs="宋体"/>
                <w:color w:val="000000"/>
                <w:kern w:val="0"/>
                <w:sz w:val="24"/>
              </w:rPr>
            </w:pPr>
            <w:r>
              <w:rPr>
                <w:rFonts w:cs="宋体"/>
                <w:color w:val="000000"/>
                <w:kern w:val="0"/>
                <w:sz w:val="24"/>
              </w:rPr>
              <w:t>9</w:t>
            </w:r>
          </w:p>
        </w:tc>
        <w:tc>
          <w:tcPr>
            <w:tcW w:w="591" w:type="pct"/>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cs="宋体"/>
                <w:color w:val="000000"/>
                <w:kern w:val="0"/>
                <w:sz w:val="24"/>
              </w:rPr>
            </w:pPr>
            <w:r>
              <w:rPr>
                <w:rFonts w:hint="eastAsia" w:cs="宋体"/>
                <w:color w:val="000000"/>
                <w:kern w:val="0"/>
                <w:sz w:val="24"/>
              </w:rPr>
              <w:t>经济高效</w:t>
            </w:r>
          </w:p>
        </w:tc>
        <w:tc>
          <w:tcPr>
            <w:tcW w:w="3461" w:type="pct"/>
            <w:tcBorders>
              <w:top w:val="nil"/>
              <w:left w:val="nil"/>
              <w:bottom w:val="single" w:color="auto" w:sz="4" w:space="0"/>
              <w:right w:val="single" w:color="auto" w:sz="4" w:space="0"/>
            </w:tcBorders>
            <w:noWrap/>
            <w:vAlign w:val="center"/>
          </w:tcPr>
          <w:p>
            <w:pPr>
              <w:widowControl/>
              <w:jc w:val="left"/>
              <w:rPr>
                <w:rFonts w:hint="eastAsia" w:cs="宋体"/>
                <w:color w:val="000000"/>
                <w:kern w:val="0"/>
                <w:sz w:val="24"/>
              </w:rPr>
            </w:pPr>
            <w:r>
              <w:rPr>
                <w:rFonts w:hint="eastAsia" w:cs="宋体"/>
                <w:color w:val="000000"/>
                <w:kern w:val="0"/>
                <w:sz w:val="24"/>
              </w:rPr>
              <w:t>多式联运换装1小时完成率</w:t>
            </w:r>
          </w:p>
        </w:tc>
        <w:tc>
          <w:tcPr>
            <w:tcW w:w="595" w:type="pct"/>
            <w:tcBorders>
              <w:top w:val="nil"/>
              <w:left w:val="nil"/>
              <w:bottom w:val="single" w:color="auto" w:sz="4" w:space="0"/>
              <w:right w:val="single" w:color="auto" w:sz="4" w:space="0"/>
            </w:tcBorders>
            <w:noWrap/>
            <w:vAlign w:val="center"/>
          </w:tcPr>
          <w:p>
            <w:pPr>
              <w:widowControl/>
              <w:jc w:val="center"/>
              <w:rPr>
                <w:rFonts w:hint="eastAsia" w:cs="宋体"/>
                <w:color w:val="000000"/>
                <w:kern w:val="0"/>
                <w:sz w:val="24"/>
              </w:rPr>
            </w:pPr>
            <w:r>
              <w:rPr>
                <w:rFonts w:hint="eastAsia" w:cs="宋体"/>
                <w:color w:val="000000"/>
                <w:kern w:val="0"/>
                <w:sz w:val="24"/>
              </w:rPr>
              <w:t>90%以上</w:t>
            </w:r>
          </w:p>
        </w:tc>
      </w:tr>
      <w:tr>
        <w:tblPrEx>
          <w:tblCellMar>
            <w:top w:w="0" w:type="dxa"/>
            <w:left w:w="108" w:type="dxa"/>
            <w:bottom w:w="0" w:type="dxa"/>
            <w:right w:w="108" w:type="dxa"/>
          </w:tblCellMar>
        </w:tblPrEx>
        <w:trPr>
          <w:trHeight w:val="709" w:hRule="exact"/>
          <w:jc w:val="center"/>
        </w:trPr>
        <w:tc>
          <w:tcPr>
            <w:tcW w:w="352" w:type="pct"/>
            <w:tcBorders>
              <w:top w:val="nil"/>
              <w:left w:val="single" w:color="auto" w:sz="4" w:space="0"/>
              <w:bottom w:val="single" w:color="auto" w:sz="4" w:space="0"/>
              <w:right w:val="single" w:color="auto" w:sz="4" w:space="0"/>
            </w:tcBorders>
            <w:noWrap/>
            <w:vAlign w:val="center"/>
          </w:tcPr>
          <w:p>
            <w:pPr>
              <w:widowControl/>
              <w:jc w:val="center"/>
              <w:rPr>
                <w:rFonts w:hint="eastAsia" w:cs="宋体"/>
                <w:color w:val="000000"/>
                <w:kern w:val="0"/>
                <w:sz w:val="24"/>
              </w:rPr>
            </w:pPr>
            <w:r>
              <w:rPr>
                <w:rFonts w:hint="eastAsia" w:cs="宋体"/>
                <w:color w:val="000000"/>
                <w:kern w:val="0"/>
                <w:sz w:val="24"/>
              </w:rPr>
              <w:t>1</w:t>
            </w:r>
            <w:r>
              <w:rPr>
                <w:rFonts w:cs="宋体"/>
                <w:color w:val="000000"/>
                <w:kern w:val="0"/>
                <w:sz w:val="24"/>
              </w:rPr>
              <w:t>0</w:t>
            </w:r>
          </w:p>
        </w:tc>
        <w:tc>
          <w:tcPr>
            <w:tcW w:w="591"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cs="宋体"/>
                <w:color w:val="000000"/>
                <w:kern w:val="0"/>
                <w:sz w:val="24"/>
              </w:rPr>
            </w:pPr>
          </w:p>
        </w:tc>
        <w:tc>
          <w:tcPr>
            <w:tcW w:w="3461" w:type="pct"/>
            <w:tcBorders>
              <w:top w:val="nil"/>
              <w:left w:val="nil"/>
              <w:bottom w:val="single" w:color="auto" w:sz="4" w:space="0"/>
              <w:right w:val="single" w:color="auto" w:sz="4" w:space="0"/>
            </w:tcBorders>
            <w:noWrap/>
            <w:vAlign w:val="center"/>
          </w:tcPr>
          <w:p>
            <w:pPr>
              <w:widowControl/>
              <w:jc w:val="left"/>
              <w:rPr>
                <w:rFonts w:hint="eastAsia" w:cs="宋体"/>
                <w:color w:val="000000"/>
                <w:kern w:val="0"/>
                <w:sz w:val="24"/>
              </w:rPr>
            </w:pPr>
            <w:r>
              <w:rPr>
                <w:rFonts w:hint="eastAsia" w:cs="宋体"/>
                <w:color w:val="000000"/>
                <w:kern w:val="0"/>
                <w:sz w:val="24"/>
              </w:rPr>
              <w:t>江西省综合立体交通网主骨架赣州境内段能力利用率</w:t>
            </w:r>
          </w:p>
        </w:tc>
        <w:tc>
          <w:tcPr>
            <w:tcW w:w="595" w:type="pct"/>
            <w:tcBorders>
              <w:top w:val="nil"/>
              <w:left w:val="nil"/>
              <w:bottom w:val="single" w:color="auto" w:sz="4" w:space="0"/>
              <w:right w:val="single" w:color="auto" w:sz="4" w:space="0"/>
            </w:tcBorders>
            <w:noWrap/>
            <w:vAlign w:val="center"/>
          </w:tcPr>
          <w:p>
            <w:pPr>
              <w:widowControl/>
              <w:jc w:val="center"/>
              <w:rPr>
                <w:rFonts w:hint="eastAsia" w:cs="宋体"/>
                <w:color w:val="000000"/>
                <w:kern w:val="0"/>
                <w:sz w:val="24"/>
              </w:rPr>
            </w:pPr>
            <w:r>
              <w:rPr>
                <w:rFonts w:hint="eastAsia" w:cs="宋体"/>
                <w:color w:val="000000"/>
                <w:kern w:val="0"/>
                <w:sz w:val="24"/>
              </w:rPr>
              <w:t>60%-85%</w:t>
            </w:r>
          </w:p>
        </w:tc>
      </w:tr>
      <w:tr>
        <w:tblPrEx>
          <w:tblCellMar>
            <w:top w:w="0" w:type="dxa"/>
            <w:left w:w="108" w:type="dxa"/>
            <w:bottom w:w="0" w:type="dxa"/>
            <w:right w:w="108" w:type="dxa"/>
          </w:tblCellMar>
        </w:tblPrEx>
        <w:trPr>
          <w:trHeight w:val="709" w:hRule="exact"/>
          <w:jc w:val="center"/>
        </w:trPr>
        <w:tc>
          <w:tcPr>
            <w:tcW w:w="352" w:type="pct"/>
            <w:tcBorders>
              <w:top w:val="nil"/>
              <w:left w:val="single" w:color="auto" w:sz="4" w:space="0"/>
              <w:bottom w:val="single" w:color="auto" w:sz="4" w:space="0"/>
              <w:right w:val="single" w:color="auto" w:sz="4" w:space="0"/>
            </w:tcBorders>
            <w:noWrap/>
            <w:vAlign w:val="center"/>
          </w:tcPr>
          <w:p>
            <w:pPr>
              <w:widowControl/>
              <w:jc w:val="center"/>
              <w:rPr>
                <w:rFonts w:hint="eastAsia" w:cs="宋体"/>
                <w:color w:val="000000"/>
                <w:kern w:val="0"/>
                <w:sz w:val="24"/>
              </w:rPr>
            </w:pPr>
            <w:r>
              <w:rPr>
                <w:rFonts w:hint="eastAsia" w:cs="宋体"/>
                <w:color w:val="000000"/>
                <w:kern w:val="0"/>
                <w:sz w:val="24"/>
              </w:rPr>
              <w:t>1</w:t>
            </w:r>
            <w:r>
              <w:rPr>
                <w:rFonts w:cs="宋体"/>
                <w:color w:val="000000"/>
                <w:kern w:val="0"/>
                <w:sz w:val="24"/>
              </w:rPr>
              <w:t>1</w:t>
            </w:r>
          </w:p>
        </w:tc>
        <w:tc>
          <w:tcPr>
            <w:tcW w:w="591"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cs="宋体"/>
                <w:color w:val="000000"/>
                <w:kern w:val="0"/>
                <w:sz w:val="24"/>
              </w:rPr>
            </w:pPr>
          </w:p>
        </w:tc>
        <w:tc>
          <w:tcPr>
            <w:tcW w:w="3461" w:type="pct"/>
            <w:tcBorders>
              <w:top w:val="nil"/>
              <w:left w:val="nil"/>
              <w:bottom w:val="single" w:color="auto" w:sz="4" w:space="0"/>
              <w:right w:val="single" w:color="auto" w:sz="4" w:space="0"/>
            </w:tcBorders>
            <w:noWrap/>
            <w:vAlign w:val="center"/>
          </w:tcPr>
          <w:p>
            <w:pPr>
              <w:widowControl/>
              <w:jc w:val="left"/>
              <w:rPr>
                <w:rFonts w:hint="eastAsia" w:cs="宋体"/>
                <w:color w:val="000000"/>
                <w:kern w:val="0"/>
                <w:sz w:val="24"/>
              </w:rPr>
            </w:pPr>
            <w:r>
              <w:rPr>
                <w:rFonts w:hint="eastAsia" w:cs="宋体"/>
                <w:color w:val="000000"/>
                <w:kern w:val="0"/>
                <w:sz w:val="24"/>
              </w:rPr>
              <w:t>铁路、水运货运周转量占比</w:t>
            </w:r>
          </w:p>
        </w:tc>
        <w:tc>
          <w:tcPr>
            <w:tcW w:w="595" w:type="pct"/>
            <w:tcBorders>
              <w:top w:val="nil"/>
              <w:left w:val="nil"/>
              <w:bottom w:val="single" w:color="auto" w:sz="4" w:space="0"/>
              <w:right w:val="single" w:color="auto" w:sz="4" w:space="0"/>
            </w:tcBorders>
            <w:noWrap/>
            <w:vAlign w:val="center"/>
          </w:tcPr>
          <w:p>
            <w:pPr>
              <w:widowControl/>
              <w:jc w:val="center"/>
              <w:rPr>
                <w:rFonts w:hint="eastAsia" w:cs="宋体"/>
                <w:color w:val="000000"/>
                <w:kern w:val="0"/>
                <w:sz w:val="24"/>
              </w:rPr>
            </w:pPr>
            <w:r>
              <w:rPr>
                <w:rFonts w:hint="eastAsia" w:eastAsia="宋体" w:cs="宋体"/>
                <w:color w:val="000000"/>
                <w:kern w:val="0"/>
                <w:sz w:val="24"/>
                <w:lang w:val="en-US" w:eastAsia="zh-CN"/>
              </w:rPr>
              <w:t>20</w:t>
            </w:r>
            <w:r>
              <w:rPr>
                <w:rFonts w:hint="eastAsia" w:cs="宋体"/>
                <w:color w:val="000000"/>
                <w:kern w:val="0"/>
                <w:sz w:val="24"/>
              </w:rPr>
              <w:t>%以上</w:t>
            </w:r>
          </w:p>
        </w:tc>
      </w:tr>
      <w:tr>
        <w:tblPrEx>
          <w:tblCellMar>
            <w:top w:w="0" w:type="dxa"/>
            <w:left w:w="108" w:type="dxa"/>
            <w:bottom w:w="0" w:type="dxa"/>
            <w:right w:w="108" w:type="dxa"/>
          </w:tblCellMar>
        </w:tblPrEx>
        <w:trPr>
          <w:trHeight w:val="709" w:hRule="exact"/>
          <w:jc w:val="center"/>
        </w:trPr>
        <w:tc>
          <w:tcPr>
            <w:tcW w:w="352" w:type="pct"/>
            <w:tcBorders>
              <w:top w:val="nil"/>
              <w:left w:val="single" w:color="auto" w:sz="4" w:space="0"/>
              <w:bottom w:val="single" w:color="auto" w:sz="4" w:space="0"/>
              <w:right w:val="single" w:color="auto" w:sz="4" w:space="0"/>
            </w:tcBorders>
            <w:noWrap/>
            <w:vAlign w:val="center"/>
          </w:tcPr>
          <w:p>
            <w:pPr>
              <w:widowControl/>
              <w:jc w:val="center"/>
              <w:rPr>
                <w:rFonts w:hint="eastAsia" w:cs="宋体"/>
                <w:color w:val="000000"/>
                <w:kern w:val="0"/>
                <w:sz w:val="24"/>
              </w:rPr>
            </w:pPr>
            <w:r>
              <w:rPr>
                <w:rFonts w:hint="eastAsia" w:cs="宋体"/>
                <w:color w:val="000000"/>
                <w:kern w:val="0"/>
                <w:sz w:val="24"/>
              </w:rPr>
              <w:t>1</w:t>
            </w:r>
            <w:r>
              <w:rPr>
                <w:rFonts w:cs="宋体"/>
                <w:color w:val="000000"/>
                <w:kern w:val="0"/>
                <w:sz w:val="24"/>
              </w:rPr>
              <w:t>2</w:t>
            </w:r>
          </w:p>
        </w:tc>
        <w:tc>
          <w:tcPr>
            <w:tcW w:w="591" w:type="pct"/>
            <w:vMerge w:val="restart"/>
            <w:tcBorders>
              <w:top w:val="nil"/>
              <w:left w:val="single" w:color="auto" w:sz="4" w:space="0"/>
              <w:bottom w:val="single" w:color="auto" w:sz="4" w:space="0"/>
              <w:right w:val="single" w:color="auto" w:sz="4" w:space="0"/>
            </w:tcBorders>
            <w:noWrap w:val="0"/>
            <w:vAlign w:val="center"/>
          </w:tcPr>
          <w:p>
            <w:pPr>
              <w:widowControl/>
              <w:jc w:val="left"/>
              <w:rPr>
                <w:rFonts w:cs="宋体"/>
                <w:color w:val="000000"/>
                <w:kern w:val="0"/>
                <w:sz w:val="24"/>
              </w:rPr>
            </w:pPr>
            <w:r>
              <w:rPr>
                <w:rFonts w:hint="eastAsia" w:cs="宋体"/>
                <w:color w:val="000000"/>
                <w:kern w:val="0"/>
                <w:sz w:val="24"/>
              </w:rPr>
              <w:t>绿色智能</w:t>
            </w:r>
          </w:p>
        </w:tc>
        <w:tc>
          <w:tcPr>
            <w:tcW w:w="3461" w:type="pct"/>
            <w:tcBorders>
              <w:top w:val="nil"/>
              <w:left w:val="nil"/>
              <w:bottom w:val="single" w:color="auto" w:sz="4" w:space="0"/>
              <w:right w:val="single" w:color="auto" w:sz="4" w:space="0"/>
            </w:tcBorders>
            <w:noWrap/>
            <w:vAlign w:val="center"/>
          </w:tcPr>
          <w:p>
            <w:pPr>
              <w:widowControl/>
              <w:jc w:val="left"/>
              <w:rPr>
                <w:rFonts w:hint="eastAsia" w:cs="宋体"/>
                <w:color w:val="000000"/>
                <w:kern w:val="0"/>
                <w:sz w:val="24"/>
              </w:rPr>
            </w:pPr>
            <w:r>
              <w:rPr>
                <w:rFonts w:hint="eastAsia" w:cs="宋体"/>
                <w:color w:val="000000"/>
                <w:kern w:val="0"/>
                <w:sz w:val="24"/>
              </w:rPr>
              <w:t>交通基础设施绿色化建设比例</w:t>
            </w:r>
          </w:p>
        </w:tc>
        <w:tc>
          <w:tcPr>
            <w:tcW w:w="595" w:type="pct"/>
            <w:tcBorders>
              <w:top w:val="nil"/>
              <w:left w:val="nil"/>
              <w:bottom w:val="single" w:color="auto" w:sz="4" w:space="0"/>
              <w:right w:val="single" w:color="auto" w:sz="4" w:space="0"/>
            </w:tcBorders>
            <w:noWrap/>
            <w:vAlign w:val="center"/>
          </w:tcPr>
          <w:p>
            <w:pPr>
              <w:widowControl/>
              <w:jc w:val="center"/>
              <w:rPr>
                <w:rFonts w:hint="eastAsia" w:cs="宋体"/>
                <w:color w:val="000000"/>
                <w:kern w:val="0"/>
                <w:sz w:val="24"/>
              </w:rPr>
            </w:pPr>
            <w:r>
              <w:rPr>
                <w:rFonts w:hint="eastAsia" w:cs="宋体"/>
                <w:color w:val="000000"/>
                <w:kern w:val="0"/>
                <w:sz w:val="24"/>
              </w:rPr>
              <w:t>95%</w:t>
            </w:r>
          </w:p>
        </w:tc>
      </w:tr>
      <w:tr>
        <w:tblPrEx>
          <w:tblCellMar>
            <w:top w:w="0" w:type="dxa"/>
            <w:left w:w="108" w:type="dxa"/>
            <w:bottom w:w="0" w:type="dxa"/>
            <w:right w:w="108" w:type="dxa"/>
          </w:tblCellMar>
        </w:tblPrEx>
        <w:trPr>
          <w:trHeight w:val="709" w:hRule="exact"/>
          <w:jc w:val="center"/>
        </w:trPr>
        <w:tc>
          <w:tcPr>
            <w:tcW w:w="352" w:type="pct"/>
            <w:tcBorders>
              <w:top w:val="nil"/>
              <w:left w:val="single" w:color="auto" w:sz="4" w:space="0"/>
              <w:bottom w:val="single" w:color="auto" w:sz="4" w:space="0"/>
              <w:right w:val="single" w:color="auto" w:sz="4" w:space="0"/>
            </w:tcBorders>
            <w:noWrap/>
            <w:vAlign w:val="center"/>
          </w:tcPr>
          <w:p>
            <w:pPr>
              <w:widowControl/>
              <w:jc w:val="center"/>
              <w:rPr>
                <w:rFonts w:hint="eastAsia" w:cs="宋体"/>
                <w:color w:val="000000"/>
                <w:kern w:val="0"/>
                <w:sz w:val="24"/>
              </w:rPr>
            </w:pPr>
            <w:r>
              <w:rPr>
                <w:rFonts w:hint="eastAsia" w:cs="宋体"/>
                <w:color w:val="000000"/>
                <w:kern w:val="0"/>
                <w:sz w:val="24"/>
              </w:rPr>
              <w:t>1</w:t>
            </w:r>
            <w:r>
              <w:rPr>
                <w:rFonts w:cs="宋体"/>
                <w:color w:val="000000"/>
                <w:kern w:val="0"/>
                <w:sz w:val="24"/>
              </w:rPr>
              <w:t>3</w:t>
            </w:r>
          </w:p>
        </w:tc>
        <w:tc>
          <w:tcPr>
            <w:tcW w:w="591"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cs="宋体"/>
                <w:color w:val="000000"/>
                <w:kern w:val="0"/>
                <w:sz w:val="24"/>
              </w:rPr>
            </w:pPr>
          </w:p>
        </w:tc>
        <w:tc>
          <w:tcPr>
            <w:tcW w:w="3461" w:type="pct"/>
            <w:tcBorders>
              <w:top w:val="nil"/>
              <w:left w:val="nil"/>
              <w:bottom w:val="single" w:color="auto" w:sz="4" w:space="0"/>
              <w:right w:val="single" w:color="auto" w:sz="4" w:space="0"/>
            </w:tcBorders>
            <w:noWrap/>
            <w:vAlign w:val="center"/>
          </w:tcPr>
          <w:p>
            <w:pPr>
              <w:widowControl/>
              <w:jc w:val="left"/>
              <w:rPr>
                <w:rFonts w:hint="eastAsia" w:cs="宋体"/>
                <w:color w:val="000000"/>
                <w:kern w:val="0"/>
                <w:sz w:val="24"/>
              </w:rPr>
            </w:pPr>
            <w:r>
              <w:rPr>
                <w:rFonts w:hint="eastAsia" w:cs="宋体"/>
                <w:color w:val="000000"/>
                <w:kern w:val="0"/>
                <w:sz w:val="24"/>
              </w:rPr>
              <w:t>交通基础设施数字化率</w:t>
            </w:r>
          </w:p>
        </w:tc>
        <w:tc>
          <w:tcPr>
            <w:tcW w:w="595" w:type="pct"/>
            <w:tcBorders>
              <w:top w:val="nil"/>
              <w:left w:val="nil"/>
              <w:bottom w:val="single" w:color="auto" w:sz="4" w:space="0"/>
              <w:right w:val="single" w:color="auto" w:sz="4" w:space="0"/>
            </w:tcBorders>
            <w:noWrap/>
            <w:vAlign w:val="center"/>
          </w:tcPr>
          <w:p>
            <w:pPr>
              <w:widowControl/>
              <w:jc w:val="center"/>
              <w:rPr>
                <w:rFonts w:hint="eastAsia" w:cs="宋体"/>
                <w:color w:val="000000"/>
                <w:kern w:val="0"/>
                <w:sz w:val="24"/>
              </w:rPr>
            </w:pPr>
            <w:r>
              <w:rPr>
                <w:rFonts w:hint="eastAsia" w:cs="宋体"/>
                <w:color w:val="000000"/>
                <w:kern w:val="0"/>
                <w:sz w:val="24"/>
              </w:rPr>
              <w:t>90%</w:t>
            </w:r>
          </w:p>
        </w:tc>
      </w:tr>
      <w:tr>
        <w:tblPrEx>
          <w:tblCellMar>
            <w:top w:w="0" w:type="dxa"/>
            <w:left w:w="108" w:type="dxa"/>
            <w:bottom w:w="0" w:type="dxa"/>
            <w:right w:w="108" w:type="dxa"/>
          </w:tblCellMar>
        </w:tblPrEx>
        <w:trPr>
          <w:trHeight w:val="709" w:hRule="exact"/>
          <w:jc w:val="center"/>
        </w:trPr>
        <w:tc>
          <w:tcPr>
            <w:tcW w:w="352"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cs="宋体"/>
                <w:color w:val="000000"/>
                <w:kern w:val="0"/>
                <w:sz w:val="24"/>
              </w:rPr>
            </w:pPr>
            <w:r>
              <w:rPr>
                <w:rFonts w:hint="eastAsia" w:cs="宋体"/>
                <w:color w:val="000000"/>
                <w:kern w:val="0"/>
                <w:sz w:val="24"/>
              </w:rPr>
              <w:t>1</w:t>
            </w:r>
            <w:r>
              <w:rPr>
                <w:rFonts w:cs="宋体"/>
                <w:color w:val="000000"/>
                <w:kern w:val="0"/>
                <w:sz w:val="24"/>
              </w:rPr>
              <w:t>4</w:t>
            </w:r>
          </w:p>
        </w:tc>
        <w:tc>
          <w:tcPr>
            <w:tcW w:w="591" w:type="pct"/>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cs="宋体"/>
                <w:color w:val="000000"/>
                <w:kern w:val="0"/>
                <w:sz w:val="24"/>
              </w:rPr>
            </w:pPr>
            <w:r>
              <w:rPr>
                <w:rFonts w:hint="eastAsia" w:cs="宋体"/>
                <w:color w:val="000000"/>
                <w:kern w:val="0"/>
                <w:sz w:val="24"/>
              </w:rPr>
              <w:t>安全可靠</w:t>
            </w:r>
          </w:p>
        </w:tc>
        <w:tc>
          <w:tcPr>
            <w:tcW w:w="3461" w:type="pct"/>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cs="宋体"/>
                <w:color w:val="000000"/>
                <w:kern w:val="0"/>
                <w:sz w:val="24"/>
              </w:rPr>
            </w:pPr>
            <w:r>
              <w:rPr>
                <w:rFonts w:hint="eastAsia" w:cs="宋体"/>
                <w:color w:val="000000"/>
                <w:kern w:val="0"/>
                <w:sz w:val="24"/>
              </w:rPr>
              <w:t>综合立体交通网安全设施完好率</w:t>
            </w:r>
          </w:p>
        </w:tc>
        <w:tc>
          <w:tcPr>
            <w:tcW w:w="595"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cs="宋体"/>
                <w:color w:val="000000"/>
                <w:kern w:val="0"/>
                <w:sz w:val="24"/>
              </w:rPr>
            </w:pPr>
            <w:r>
              <w:rPr>
                <w:rFonts w:hint="eastAsia" w:cs="宋体"/>
                <w:color w:val="000000"/>
                <w:kern w:val="0"/>
                <w:sz w:val="24"/>
              </w:rPr>
              <w:t>95%以上</w:t>
            </w:r>
          </w:p>
        </w:tc>
      </w:tr>
      <w:tr>
        <w:tblPrEx>
          <w:tblCellMar>
            <w:top w:w="0" w:type="dxa"/>
            <w:left w:w="108" w:type="dxa"/>
            <w:bottom w:w="0" w:type="dxa"/>
            <w:right w:w="108" w:type="dxa"/>
          </w:tblCellMar>
        </w:tblPrEx>
        <w:trPr>
          <w:trHeight w:val="709" w:hRule="exact"/>
          <w:jc w:val="center"/>
        </w:trPr>
        <w:tc>
          <w:tcPr>
            <w:tcW w:w="352"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cs="宋体"/>
                <w:color w:val="000000"/>
                <w:kern w:val="0"/>
                <w:sz w:val="24"/>
              </w:rPr>
            </w:pPr>
            <w:r>
              <w:rPr>
                <w:rFonts w:hint="eastAsia" w:cs="宋体"/>
                <w:color w:val="000000"/>
                <w:kern w:val="0"/>
                <w:sz w:val="24"/>
              </w:rPr>
              <w:t>1</w:t>
            </w:r>
            <w:r>
              <w:rPr>
                <w:rFonts w:cs="宋体"/>
                <w:color w:val="000000"/>
                <w:kern w:val="0"/>
                <w:sz w:val="24"/>
              </w:rPr>
              <w:t>5</w:t>
            </w:r>
          </w:p>
        </w:tc>
        <w:tc>
          <w:tcPr>
            <w:tcW w:w="591"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宋体"/>
                <w:color w:val="000000"/>
                <w:kern w:val="0"/>
                <w:sz w:val="24"/>
              </w:rPr>
            </w:pPr>
          </w:p>
        </w:tc>
        <w:tc>
          <w:tcPr>
            <w:tcW w:w="3461" w:type="pct"/>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cs="宋体"/>
                <w:color w:val="000000"/>
                <w:kern w:val="0"/>
                <w:sz w:val="24"/>
              </w:rPr>
            </w:pPr>
            <w:r>
              <w:rPr>
                <w:rFonts w:hint="eastAsia" w:cs="宋体"/>
                <w:color w:val="000000"/>
                <w:kern w:val="0"/>
                <w:sz w:val="24"/>
              </w:rPr>
              <w:t>重点区域多路径连接比例</w:t>
            </w:r>
          </w:p>
        </w:tc>
        <w:tc>
          <w:tcPr>
            <w:tcW w:w="595"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cs="宋体"/>
                <w:color w:val="000000"/>
                <w:kern w:val="0"/>
                <w:sz w:val="24"/>
              </w:rPr>
            </w:pPr>
            <w:r>
              <w:rPr>
                <w:rFonts w:hint="eastAsia" w:cs="宋体"/>
                <w:color w:val="000000"/>
                <w:kern w:val="0"/>
                <w:sz w:val="24"/>
              </w:rPr>
              <w:t>95%以上</w:t>
            </w:r>
          </w:p>
        </w:tc>
      </w:tr>
    </w:tbl>
    <w:p>
      <w:pPr>
        <w:spacing w:line="520" w:lineRule="exact"/>
        <w:ind w:firstLine="618" w:firstLineChars="200"/>
        <w:jc w:val="both"/>
        <w:rPr>
          <w:rFonts w:hint="eastAsia" w:ascii="宋体" w:hAnsi="宋体" w:eastAsia="仿宋_GB2312" w:cs="仿宋_GB2312"/>
          <w:sz w:val="32"/>
          <w:szCs w:val="32"/>
        </w:rPr>
      </w:pPr>
      <w:r>
        <w:rPr>
          <w:rFonts w:hint="eastAsia" w:ascii="仿宋_GB2312" w:hAnsi="宋体" w:eastAsia="仿宋_GB2312" w:cs="仿宋_GB2312"/>
          <w:sz w:val="32"/>
          <w:szCs w:val="32"/>
        </w:rPr>
        <w:t>到本世纪中叶，全面建成交通强市，交通基础设施更加完善，交通运输供需有效平衡、服务优质均等、安全有力保障。传统基础设施和新型基础设施实现深度融合，实现数字化、网络化、智能化、绿色化。综合交通运输效益充分发挥，运行组织更加经济高效，实现“人享其行、物畅其流”，总体发展水平保持全省前列，为全面建设社会主义现代化赣州贡献交通力量。</w:t>
      </w:r>
    </w:p>
    <w:p>
      <w:pPr>
        <w:pStyle w:val="5"/>
        <w:keepNext w:val="0"/>
        <w:keepLines w:val="0"/>
        <w:pageBreakBefore w:val="0"/>
        <w:widowControl/>
        <w:kinsoku w:val="0"/>
        <w:wordWrap/>
        <w:overflowPunct/>
        <w:topLinePunct w:val="0"/>
        <w:autoSpaceDE w:val="0"/>
        <w:autoSpaceDN w:val="0"/>
        <w:bidi w:val="0"/>
        <w:adjustRightInd w:val="0"/>
        <w:snapToGrid w:val="0"/>
        <w:spacing w:beforeAutospacing="0" w:afterAutospacing="0" w:line="560" w:lineRule="exact"/>
        <w:ind w:firstLine="618" w:firstLineChars="200"/>
        <w:jc w:val="both"/>
        <w:textAlignment w:val="baseline"/>
        <w:rPr>
          <w:rFonts w:hint="eastAsia" w:eastAsia="黑体" w:cs="黑体"/>
          <w:b w:val="0"/>
          <w:bCs/>
          <w:color w:val="000000"/>
          <w:sz w:val="32"/>
          <w:szCs w:val="32"/>
        </w:rPr>
      </w:pPr>
      <w:bookmarkStart w:id="7" w:name="_Toc91265240"/>
      <w:bookmarkStart w:id="8" w:name="_Toc151387966"/>
      <w:r>
        <w:rPr>
          <w:rFonts w:hint="eastAsia" w:eastAsia="黑体" w:cs="黑体"/>
          <w:b w:val="0"/>
          <w:bCs/>
          <w:color w:val="000000"/>
          <w:sz w:val="32"/>
          <w:szCs w:val="32"/>
        </w:rPr>
        <w:t>二、</w:t>
      </w:r>
      <w:bookmarkEnd w:id="7"/>
      <w:r>
        <w:rPr>
          <w:rFonts w:hint="eastAsia" w:eastAsia="黑体" w:cs="黑体"/>
          <w:b w:val="0"/>
          <w:bCs/>
          <w:color w:val="000000"/>
          <w:sz w:val="32"/>
          <w:szCs w:val="32"/>
        </w:rPr>
        <w:t>优化综合立体交通发展格局</w:t>
      </w:r>
      <w:bookmarkEnd w:id="8"/>
    </w:p>
    <w:p>
      <w:pPr>
        <w:pStyle w:val="6"/>
        <w:keepNext w:val="0"/>
        <w:keepLines w:val="0"/>
        <w:spacing w:before="0" w:after="0" w:line="520" w:lineRule="exact"/>
        <w:ind w:firstLine="594" w:firstLineChars="200"/>
        <w:rPr>
          <w:rFonts w:hint="eastAsia" w:ascii="楷体_GB2312" w:hAnsi="楷体_GB2312" w:eastAsia="楷体_GB2312" w:cs="楷体_GB2312"/>
          <w:b w:val="0"/>
          <w:color w:val="000000"/>
          <w:spacing w:val="-6"/>
          <w:szCs w:val="32"/>
        </w:rPr>
      </w:pPr>
      <w:bookmarkStart w:id="9" w:name="_Toc91265241"/>
      <w:bookmarkStart w:id="10" w:name="_Toc151387967"/>
      <w:r>
        <w:rPr>
          <w:rFonts w:hint="eastAsia" w:ascii="楷体_GB2312" w:hAnsi="楷体_GB2312" w:eastAsia="楷体_GB2312" w:cs="楷体_GB2312"/>
          <w:b w:val="0"/>
          <w:color w:val="000000"/>
          <w:spacing w:val="-6"/>
          <w:szCs w:val="32"/>
        </w:rPr>
        <w:t>（一）</w:t>
      </w:r>
      <w:bookmarkEnd w:id="9"/>
      <w:r>
        <w:rPr>
          <w:rFonts w:hint="eastAsia" w:ascii="楷体_GB2312" w:hAnsi="楷体_GB2312" w:eastAsia="楷体_GB2312" w:cs="楷体_GB2312"/>
          <w:b w:val="0"/>
          <w:color w:val="000000"/>
          <w:spacing w:val="-6"/>
          <w:szCs w:val="32"/>
        </w:rPr>
        <w:t>建设能力充分的跨区域综合运输大通道</w:t>
      </w:r>
      <w:bookmarkEnd w:id="10"/>
    </w:p>
    <w:p>
      <w:pPr>
        <w:spacing w:line="520" w:lineRule="exact"/>
        <w:ind w:firstLine="618" w:firstLineChars="200"/>
        <w:rPr>
          <w:rFonts w:hint="eastAsia" w:ascii="仿宋_GB2312" w:hAnsi="宋体" w:eastAsia="仿宋_GB2312" w:cs="仿宋_GB2312"/>
          <w:sz w:val="32"/>
          <w:szCs w:val="32"/>
        </w:rPr>
      </w:pPr>
      <w:r>
        <w:rPr>
          <w:rFonts w:hint="eastAsia" w:ascii="仿宋_GB2312" w:hAnsi="宋体" w:eastAsia="仿宋_GB2312" w:cs="仿宋_GB2312"/>
          <w:sz w:val="32"/>
          <w:szCs w:val="32"/>
        </w:rPr>
        <w:t>衔接国家“六轴七廊八通道”综合立体交通骨干网布局、江西省“六纵六横”对外综合运输通道，纵深立体推进交通运输体系建设，实现赣州“两纵三横”</w:t>
      </w:r>
      <w:r>
        <w:rPr>
          <w:rStyle w:val="18"/>
          <w:rFonts w:hint="eastAsia" w:ascii="仿宋_GB2312" w:eastAsia="仿宋_GB2312"/>
          <w:sz w:val="32"/>
          <w:szCs w:val="32"/>
        </w:rPr>
        <w:footnoteReference w:id="0"/>
      </w:r>
      <w:r>
        <w:rPr>
          <w:rFonts w:hint="eastAsia" w:ascii="仿宋_GB2312" w:hAnsi="宋体" w:eastAsia="仿宋_GB2312" w:cs="仿宋_GB2312"/>
          <w:sz w:val="32"/>
          <w:szCs w:val="32"/>
        </w:rPr>
        <w:t>的综合立体通道布局。发挥分向辐射、直连直通的区域交通联系功能，实现赣州与国家中心城市、粤港澳大湾区核心城市、沿江沿海城市等多层次、多方向的快速通达，同时凭借自身城市能级的提升辐射带动周边中小城市，充分发挥省域副中心城市的影响力。</w:t>
      </w:r>
    </w:p>
    <w:p>
      <w:pPr>
        <w:spacing w:line="520" w:lineRule="exact"/>
        <w:ind w:firstLine="618" w:firstLineChars="200"/>
        <w:rPr>
          <w:rFonts w:hint="eastAsia" w:ascii="仿宋_GB2312" w:hAnsi="宋体" w:eastAsia="仿宋_GB2312" w:cs="仿宋_GB2312"/>
          <w:sz w:val="32"/>
          <w:szCs w:val="32"/>
        </w:rPr>
      </w:pPr>
      <w:r>
        <w:rPr>
          <w:rFonts w:hint="eastAsia" w:ascii="仿宋_GB2312" w:hAnsi="宋体" w:eastAsia="仿宋_GB2312" w:cs="仿宋_GB2312"/>
          <w:sz w:val="32"/>
          <w:szCs w:val="32"/>
        </w:rPr>
        <w:t>加强赣州与京津冀、长三角、粤港澳大湾区、成渝地区双城经济圈等国家综合立体交通网4极之间的联系，加快建成长赣高铁、瑞梅铁路，积极推动高速公路加密工程，全力推进赣粤运河通道建设，形成综合性、多通道、大容量、快速化的京港澳、厦蓉“大十字”交通主轴。</w:t>
      </w:r>
    </w:p>
    <w:p>
      <w:pPr>
        <w:spacing w:line="520" w:lineRule="exact"/>
        <w:ind w:firstLine="618" w:firstLineChars="200"/>
        <w:rPr>
          <w:rFonts w:hint="eastAsia" w:ascii="仿宋_GB2312" w:hAnsi="宋体" w:eastAsia="仿宋_GB2312" w:cs="仿宋_GB2312"/>
          <w:sz w:val="32"/>
          <w:szCs w:val="32"/>
        </w:rPr>
      </w:pPr>
      <w:r>
        <w:rPr>
          <w:rFonts w:hint="eastAsia" w:ascii="仿宋_GB2312" w:hAnsi="宋体" w:eastAsia="仿宋_GB2312" w:cs="仿宋_GB2312"/>
          <w:sz w:val="32"/>
          <w:szCs w:val="32"/>
        </w:rPr>
        <w:t>加强赣州与粤港澳大湾区、海西经济区、北部湾城市群和周边省市之间联系，加强市内城镇空间、资源产业集聚地的连接覆盖，提升京港澳通道、阜鹰汕通道和渝长厦通道、蒙吉泉通道、韶赣厦通道，推进多方式、便捷化通道建设，有力助推全市融入“一带一路”建设、长江经济带发展和新时代支持革命老区振兴发展等国家战略。促进内外连通、通边达海，强化赣州对外交通联系。</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5000" w:type="pct"/>
            <w:noWrap w:val="0"/>
            <w:vAlign w:val="center"/>
          </w:tcPr>
          <w:p>
            <w:pPr>
              <w:overflowPunct w:val="0"/>
              <w:adjustRightInd w:val="0"/>
              <w:snapToGrid w:val="0"/>
              <w:spacing w:line="400" w:lineRule="exact"/>
              <w:jc w:val="center"/>
              <w:rPr>
                <w:rFonts w:ascii="宋体" w:hAnsi="宋体"/>
                <w:color w:val="000000"/>
                <w:sz w:val="24"/>
              </w:rPr>
            </w:pPr>
            <w:r>
              <w:rPr>
                <w:rFonts w:ascii="宋体" w:hAnsi="宋体" w:eastAsia="黑体"/>
                <w:color w:val="000000"/>
                <w:sz w:val="28"/>
                <w:szCs w:val="28"/>
              </w:rPr>
              <w:t>专栏</w:t>
            </w:r>
            <w:r>
              <w:rPr>
                <w:rFonts w:hint="eastAsia" w:ascii="宋体" w:hAnsi="宋体" w:eastAsia="黑体"/>
                <w:color w:val="000000"/>
                <w:sz w:val="28"/>
                <w:szCs w:val="28"/>
              </w:rPr>
              <w:t>二：</w:t>
            </w:r>
            <w:r>
              <w:rPr>
                <w:rFonts w:ascii="宋体" w:hAnsi="宋体" w:eastAsia="黑体"/>
                <w:color w:val="000000"/>
                <w:sz w:val="28"/>
                <w:szCs w:val="28"/>
              </w:rPr>
              <w:t xml:space="preserve">  </w:t>
            </w:r>
            <w:r>
              <w:rPr>
                <w:rFonts w:hint="eastAsia" w:ascii="宋体" w:hAnsi="宋体" w:eastAsia="黑体"/>
                <w:color w:val="000000"/>
                <w:sz w:val="28"/>
                <w:szCs w:val="28"/>
              </w:rPr>
              <w:t>赣州市综合立体交通网对外综合运输通道布局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5000" w:type="pct"/>
            <w:noWrap w:val="0"/>
            <w:vAlign w:val="center"/>
          </w:tcPr>
          <w:p>
            <w:pPr>
              <w:overflowPunct w:val="0"/>
              <w:adjustRightInd w:val="0"/>
              <w:snapToGrid w:val="0"/>
              <w:spacing w:before="287" w:beforeLines="50" w:line="336" w:lineRule="auto"/>
              <w:ind w:firstLine="458" w:firstLineChars="200"/>
              <w:rPr>
                <w:rFonts w:hint="eastAsia" w:ascii="楷体_GB2312" w:hAnsi="宋体" w:eastAsia="楷体_GB2312"/>
                <w:b/>
                <w:bCs/>
                <w:color w:val="000000"/>
                <w:sz w:val="24"/>
              </w:rPr>
            </w:pPr>
            <w:r>
              <w:rPr>
                <w:rFonts w:hint="eastAsia" w:ascii="楷体_GB2312" w:hAnsi="宋体" w:eastAsia="楷体_GB2312"/>
                <w:b/>
                <w:bCs/>
                <w:color w:val="000000"/>
                <w:sz w:val="24"/>
              </w:rPr>
              <w:t>两条纵向综合运输通道</w:t>
            </w:r>
          </w:p>
          <w:p>
            <w:pPr>
              <w:overflowPunct w:val="0"/>
              <w:adjustRightInd w:val="0"/>
              <w:snapToGrid w:val="0"/>
              <w:spacing w:line="336" w:lineRule="auto"/>
              <w:ind w:firstLine="458" w:firstLineChars="200"/>
              <w:rPr>
                <w:rFonts w:ascii="宋体" w:hAnsi="宋体"/>
                <w:color w:val="000000"/>
                <w:sz w:val="24"/>
              </w:rPr>
            </w:pPr>
            <w:r>
              <w:rPr>
                <w:rFonts w:hint="eastAsia" w:ascii="宋体" w:hAnsi="宋体"/>
                <w:color w:val="000000"/>
                <w:sz w:val="24"/>
              </w:rPr>
              <w:t>京港澳通道（国家级)。是国家京津冀—粤港澳主轴的组成部分，经由北京—九江—南昌—赣州—深圳（广州)—香港。连接京津冀、粤港澳大湾区等国家综合立体交通网“两极”，是赣州连南接北的交通主轴。</w:t>
            </w:r>
          </w:p>
          <w:p>
            <w:pPr>
              <w:overflowPunct w:val="0"/>
              <w:adjustRightInd w:val="0"/>
              <w:snapToGrid w:val="0"/>
              <w:spacing w:line="336" w:lineRule="auto"/>
              <w:ind w:firstLine="458" w:firstLineChars="200"/>
              <w:rPr>
                <w:rFonts w:ascii="宋体" w:hAnsi="宋体"/>
                <w:color w:val="000000"/>
                <w:sz w:val="24"/>
              </w:rPr>
            </w:pPr>
            <w:r>
              <w:rPr>
                <w:rFonts w:hint="eastAsia" w:ascii="宋体" w:hAnsi="宋体"/>
                <w:color w:val="000000"/>
                <w:sz w:val="24"/>
              </w:rPr>
              <w:t>阜鹰汕通道（省级)。阜阳—鹰潭—赣州（瑞金)—梅州—汕头，是赣州南北向对外运输通道。</w:t>
            </w:r>
          </w:p>
          <w:p>
            <w:pPr>
              <w:overflowPunct w:val="0"/>
              <w:adjustRightInd w:val="0"/>
              <w:snapToGrid w:val="0"/>
              <w:spacing w:before="287" w:beforeLines="50" w:line="336" w:lineRule="auto"/>
              <w:ind w:firstLine="458" w:firstLineChars="200"/>
              <w:rPr>
                <w:rFonts w:hint="eastAsia" w:ascii="楷体_GB2312" w:hAnsi="宋体" w:eastAsia="楷体_GB2312"/>
                <w:b/>
                <w:bCs/>
                <w:color w:val="000000"/>
                <w:sz w:val="24"/>
              </w:rPr>
            </w:pPr>
            <w:r>
              <w:rPr>
                <w:rFonts w:hint="eastAsia" w:ascii="楷体_GB2312" w:hAnsi="宋体" w:eastAsia="楷体_GB2312"/>
                <w:b/>
                <w:bCs/>
                <w:color w:val="000000"/>
                <w:sz w:val="24"/>
              </w:rPr>
              <w:t>三条横向综合运输通道</w:t>
            </w:r>
          </w:p>
          <w:p>
            <w:pPr>
              <w:overflowPunct w:val="0"/>
              <w:adjustRightInd w:val="0"/>
              <w:snapToGrid w:val="0"/>
              <w:spacing w:line="336" w:lineRule="auto"/>
              <w:ind w:firstLine="458" w:firstLineChars="200"/>
              <w:rPr>
                <w:rFonts w:hint="eastAsia" w:ascii="宋体" w:hAnsi="宋体"/>
                <w:color w:val="000000"/>
                <w:sz w:val="24"/>
              </w:rPr>
            </w:pPr>
            <w:r>
              <w:rPr>
                <w:rFonts w:hint="eastAsia" w:ascii="宋体" w:hAnsi="宋体"/>
                <w:sz w:val="24"/>
              </w:rPr>
              <w:t>渝长厦通道（国家级)。是国家厦蓉通道的组成部分，经由重庆—长沙—萍乡—吉安（井冈山)—赣州—厦门。连接成渝、长江中游、福建沿海地区，是赣南革命老区对外联系的运输通道。</w:t>
            </w:r>
          </w:p>
          <w:p>
            <w:pPr>
              <w:overflowPunct w:val="0"/>
              <w:adjustRightInd w:val="0"/>
              <w:snapToGrid w:val="0"/>
              <w:spacing w:line="336" w:lineRule="auto"/>
              <w:ind w:firstLine="458" w:firstLineChars="200"/>
              <w:rPr>
                <w:rFonts w:hint="eastAsia" w:ascii="宋体" w:hAnsi="宋体"/>
                <w:color w:val="000000"/>
                <w:sz w:val="24"/>
              </w:rPr>
            </w:pPr>
            <w:r>
              <w:rPr>
                <w:rFonts w:hint="eastAsia" w:ascii="宋体" w:hAnsi="宋体"/>
                <w:color w:val="000000"/>
                <w:sz w:val="24"/>
              </w:rPr>
              <w:t>蒙吉泉通道（省级)。蒙西—岳阳—宜春—新余—吉安—赣州—泉州。连接蒙西煤炭基地、武汉都市圈、福建沿海地区，是赣州重要对外运输通道。</w:t>
            </w:r>
          </w:p>
          <w:p>
            <w:pPr>
              <w:pStyle w:val="2"/>
              <w:adjustRightInd w:val="0"/>
              <w:snapToGrid w:val="0"/>
              <w:spacing w:line="336" w:lineRule="auto"/>
              <w:ind w:firstLine="458" w:firstLineChars="200"/>
              <w:rPr>
                <w:rFonts w:hint="eastAsia"/>
                <w:sz w:val="24"/>
              </w:rPr>
            </w:pPr>
            <w:r>
              <w:rPr>
                <w:rFonts w:hint="eastAsia"/>
                <w:sz w:val="24"/>
              </w:rPr>
              <w:t>韶赣厦通道（省级)。韶关—赣州—龙岩—厦门。连接广东、海西经济区，是赣南革命老区横向对外联系的运输通道。</w:t>
            </w:r>
          </w:p>
        </w:tc>
      </w:tr>
    </w:tbl>
    <w:p>
      <w:pPr>
        <w:pStyle w:val="6"/>
        <w:keepNext w:val="0"/>
        <w:keepLines w:val="0"/>
        <w:pageBreakBefore w:val="0"/>
        <w:widowControl/>
        <w:kinsoku w:val="0"/>
        <w:wordWrap/>
        <w:overflowPunct/>
        <w:topLinePunct w:val="0"/>
        <w:autoSpaceDE w:val="0"/>
        <w:autoSpaceDN w:val="0"/>
        <w:bidi w:val="0"/>
        <w:adjustRightInd w:val="0"/>
        <w:snapToGrid w:val="0"/>
        <w:spacing w:before="0" w:after="0" w:line="560" w:lineRule="exact"/>
        <w:ind w:firstLine="618" w:firstLineChars="200"/>
        <w:textAlignment w:val="baseline"/>
        <w:rPr>
          <w:rFonts w:hint="eastAsia" w:ascii="楷体_GB2312" w:hAnsi="楷体_GB2312" w:eastAsia="楷体_GB2312" w:cs="楷体_GB2312"/>
          <w:b w:val="0"/>
          <w:color w:val="000000"/>
          <w:szCs w:val="32"/>
        </w:rPr>
      </w:pPr>
      <w:bookmarkStart w:id="11" w:name="_Toc91265242"/>
      <w:bookmarkStart w:id="12" w:name="_Toc151387968"/>
      <w:r>
        <w:rPr>
          <w:rFonts w:hint="eastAsia" w:ascii="楷体_GB2312" w:hAnsi="楷体_GB2312" w:eastAsia="楷体_GB2312" w:cs="楷体_GB2312"/>
          <w:b w:val="0"/>
          <w:color w:val="000000"/>
          <w:szCs w:val="32"/>
        </w:rPr>
        <w:t>（二）</w:t>
      </w:r>
      <w:bookmarkEnd w:id="11"/>
      <w:r>
        <w:rPr>
          <w:rFonts w:hint="eastAsia" w:ascii="楷体_GB2312" w:hAnsi="楷体_GB2312" w:eastAsia="楷体_GB2312" w:cs="楷体_GB2312"/>
          <w:b w:val="0"/>
          <w:color w:val="000000"/>
          <w:szCs w:val="32"/>
        </w:rPr>
        <w:t>构筑高效互联的市域交通主骨架</w:t>
      </w:r>
      <w:bookmarkEnd w:id="12"/>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18" w:firstLineChars="200"/>
        <w:jc w:val="both"/>
        <w:textAlignment w:val="baseline"/>
        <w:rPr>
          <w:rFonts w:hint="eastAsia" w:ascii="仿宋_GB2312" w:hAnsi="宋体" w:eastAsia="仿宋_GB2312" w:cs="仿宋_GB2312"/>
          <w:sz w:val="32"/>
          <w:szCs w:val="32"/>
        </w:rPr>
      </w:pPr>
      <w:r>
        <w:rPr>
          <w:rFonts w:hint="eastAsia" w:ascii="仿宋_GB2312" w:hAnsi="宋体" w:eastAsia="仿宋_GB2312" w:cs="仿宋_GB2312"/>
          <w:sz w:val="32"/>
          <w:szCs w:val="32"/>
        </w:rPr>
        <w:t>立足“一核引领、两轴驱动、多区协同”区域发展格局，推动赣州市主城区与各县（市、区）的互联互通，推进赣中南城镇群相向发展，着力构建市域“一射两联”(一条辐射通道，两条联络通道）交通主骨架，发挥赣州省域副中心城市作用，增强辐射带动能力，形成连通市域内城镇间的主动脉、客货运输的骨干网络。</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18" w:firstLineChars="200"/>
        <w:jc w:val="both"/>
        <w:textAlignment w:val="baseline"/>
        <w:rPr>
          <w:rFonts w:hint="eastAsia" w:ascii="仿宋_GB2312" w:hAnsi="宋体" w:eastAsia="仿宋_GB2312" w:cs="仿宋_GB2312"/>
          <w:sz w:val="32"/>
          <w:szCs w:val="32"/>
        </w:rPr>
      </w:pPr>
      <w:r>
        <w:rPr>
          <w:rFonts w:hint="eastAsia" w:ascii="仿宋_GB2312" w:hAnsi="宋体" w:eastAsia="仿宋_GB2312" w:cs="仿宋_GB2312"/>
          <w:sz w:val="32"/>
          <w:szCs w:val="32"/>
        </w:rPr>
        <w:t>依托“大十字”主轴，进一步加强通道内城际交通功能,强化赣州至吉安、南昌等设区市交通联系，着力完善赣州至抚州、萍乡铁路、公路布局，实现赣州与周边城市多方式、快速化、大容量交通连接，提高赣州交通辐射能力，促进全市南北互动、东西交融。</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18" w:firstLineChars="200"/>
        <w:jc w:val="both"/>
        <w:textAlignment w:val="baseline"/>
        <w:rPr>
          <w:rFonts w:hint="eastAsia"/>
        </w:rPr>
      </w:pPr>
      <w:r>
        <w:rPr>
          <w:rFonts w:hint="eastAsia" w:ascii="宋体" w:hAnsi="宋体" w:eastAsia="仿宋_GB2312" w:cs="仿宋_GB2312"/>
          <w:sz w:val="32"/>
          <w:szCs w:val="32"/>
        </w:rPr>
        <w:t>依托阜鹰汕、蒙吉泉和韶赣厦区域综合运输通道，进一步加强主要县（市、区）间衔接通道建设，构建赣州主城区与石城、会昌、安远、寻乌等多方式、多通道、便捷化交通走廊，强化赣东南城镇群之间的相互联系。</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5000" w:type="pct"/>
            <w:noWrap w:val="0"/>
            <w:vAlign w:val="center"/>
          </w:tcPr>
          <w:p>
            <w:pPr>
              <w:overflowPunct w:val="0"/>
              <w:adjustRightInd w:val="0"/>
              <w:snapToGrid w:val="0"/>
              <w:spacing w:line="400" w:lineRule="exact"/>
              <w:jc w:val="center"/>
              <w:rPr>
                <w:rFonts w:ascii="宋体" w:hAnsi="宋体"/>
                <w:color w:val="000000"/>
                <w:sz w:val="24"/>
              </w:rPr>
            </w:pPr>
            <w:r>
              <w:rPr>
                <w:rFonts w:ascii="宋体" w:hAnsi="宋体" w:eastAsia="黑体"/>
                <w:color w:val="000000"/>
                <w:sz w:val="28"/>
                <w:szCs w:val="28"/>
              </w:rPr>
              <w:t>专栏</w:t>
            </w:r>
            <w:r>
              <w:rPr>
                <w:rFonts w:hint="eastAsia" w:ascii="宋体" w:hAnsi="宋体" w:eastAsia="黑体"/>
                <w:color w:val="000000"/>
                <w:sz w:val="28"/>
                <w:szCs w:val="28"/>
              </w:rPr>
              <w:t>三：</w:t>
            </w:r>
            <w:r>
              <w:rPr>
                <w:rFonts w:ascii="宋体" w:hAnsi="宋体" w:eastAsia="黑体"/>
                <w:color w:val="000000"/>
                <w:sz w:val="28"/>
                <w:szCs w:val="28"/>
              </w:rPr>
              <w:t xml:space="preserve">  </w:t>
            </w:r>
            <w:r>
              <w:rPr>
                <w:rFonts w:hint="eastAsia" w:ascii="宋体" w:hAnsi="宋体" w:eastAsia="黑体"/>
                <w:color w:val="000000"/>
                <w:sz w:val="28"/>
                <w:szCs w:val="28"/>
              </w:rPr>
              <w:t>赣州市综合立体交通网市域骨干通道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5000" w:type="pct"/>
            <w:noWrap w:val="0"/>
            <w:vAlign w:val="center"/>
          </w:tcPr>
          <w:p>
            <w:pPr>
              <w:overflowPunct w:val="0"/>
              <w:adjustRightInd w:val="0"/>
              <w:snapToGrid w:val="0"/>
              <w:spacing w:before="287" w:beforeLines="50" w:line="336" w:lineRule="auto"/>
              <w:ind w:firstLine="458" w:firstLineChars="200"/>
              <w:rPr>
                <w:rFonts w:ascii="楷体_GB2312" w:hAnsi="宋体" w:eastAsia="楷体_GB2312"/>
                <w:b/>
                <w:bCs/>
                <w:color w:val="000000"/>
                <w:sz w:val="24"/>
              </w:rPr>
            </w:pPr>
            <w:r>
              <w:rPr>
                <w:rFonts w:hint="eastAsia" w:ascii="楷体_GB2312" w:hAnsi="宋体" w:eastAsia="楷体_GB2312"/>
                <w:b/>
                <w:bCs/>
                <w:color w:val="000000"/>
                <w:sz w:val="24"/>
              </w:rPr>
              <w:t>两条纵向通道</w:t>
            </w:r>
          </w:p>
          <w:p>
            <w:pPr>
              <w:pStyle w:val="2"/>
              <w:adjustRightInd w:val="0"/>
              <w:snapToGrid w:val="0"/>
              <w:spacing w:line="336" w:lineRule="auto"/>
              <w:ind w:firstLine="458" w:firstLineChars="200"/>
              <w:rPr>
                <w:sz w:val="24"/>
              </w:rPr>
            </w:pPr>
            <w:r>
              <w:rPr>
                <w:rFonts w:hint="eastAsia"/>
                <w:sz w:val="24"/>
              </w:rPr>
              <w:t>宁都-瑞金-会昌-寻乌（阜鹰汕通道）</w:t>
            </w:r>
          </w:p>
          <w:p>
            <w:pPr>
              <w:pStyle w:val="2"/>
              <w:adjustRightInd w:val="0"/>
              <w:snapToGrid w:val="0"/>
              <w:spacing w:line="336" w:lineRule="auto"/>
              <w:ind w:firstLine="458" w:firstLineChars="200"/>
              <w:rPr>
                <w:sz w:val="24"/>
              </w:rPr>
            </w:pPr>
            <w:r>
              <w:rPr>
                <w:rFonts w:hint="eastAsia"/>
                <w:sz w:val="24"/>
              </w:rPr>
              <w:t>赣县区-章贡区-信丰-龙南-定南（京港澳通道）</w:t>
            </w:r>
          </w:p>
          <w:p>
            <w:pPr>
              <w:overflowPunct w:val="0"/>
              <w:adjustRightInd w:val="0"/>
              <w:snapToGrid w:val="0"/>
              <w:spacing w:before="287" w:beforeLines="50" w:line="336" w:lineRule="auto"/>
              <w:ind w:firstLine="458" w:firstLineChars="200"/>
              <w:rPr>
                <w:rFonts w:ascii="楷体_GB2312" w:hAnsi="宋体" w:eastAsia="楷体_GB2312"/>
                <w:b/>
                <w:bCs/>
                <w:color w:val="000000"/>
                <w:sz w:val="24"/>
              </w:rPr>
            </w:pPr>
            <w:r>
              <w:rPr>
                <w:rFonts w:hint="eastAsia" w:ascii="楷体_GB2312" w:hAnsi="宋体" w:eastAsia="楷体_GB2312"/>
                <w:b/>
                <w:bCs/>
                <w:color w:val="000000"/>
                <w:sz w:val="24"/>
              </w:rPr>
              <w:t>三条横向通道</w:t>
            </w:r>
          </w:p>
          <w:p>
            <w:pPr>
              <w:pStyle w:val="2"/>
              <w:adjustRightInd w:val="0"/>
              <w:snapToGrid w:val="0"/>
              <w:spacing w:line="336" w:lineRule="auto"/>
              <w:ind w:firstLine="458" w:firstLineChars="200"/>
              <w:rPr>
                <w:sz w:val="24"/>
              </w:rPr>
            </w:pPr>
            <w:r>
              <w:rPr>
                <w:rFonts w:hint="eastAsia"/>
                <w:sz w:val="24"/>
              </w:rPr>
              <w:t>石城-宁都-兴国（蒙吉泉通道）</w:t>
            </w:r>
          </w:p>
          <w:p>
            <w:pPr>
              <w:pStyle w:val="2"/>
              <w:adjustRightInd w:val="0"/>
              <w:snapToGrid w:val="0"/>
              <w:spacing w:line="336" w:lineRule="auto"/>
              <w:ind w:firstLine="458" w:firstLineChars="200"/>
              <w:rPr>
                <w:sz w:val="24"/>
              </w:rPr>
            </w:pPr>
            <w:r>
              <w:rPr>
                <w:rFonts w:hint="eastAsia"/>
                <w:sz w:val="24"/>
              </w:rPr>
              <w:t>瑞金-于都-赣县区-章贡区-南康区-蓉江新区-大余（韶赣厦通道）</w:t>
            </w:r>
          </w:p>
          <w:p>
            <w:pPr>
              <w:pStyle w:val="2"/>
              <w:adjustRightInd w:val="0"/>
              <w:snapToGrid w:val="0"/>
              <w:spacing w:line="336" w:lineRule="auto"/>
              <w:ind w:firstLine="458" w:firstLineChars="200"/>
              <w:rPr>
                <w:rFonts w:hint="eastAsia"/>
                <w:sz w:val="24"/>
              </w:rPr>
            </w:pPr>
            <w:r>
              <w:rPr>
                <w:rFonts w:hint="eastAsia"/>
                <w:sz w:val="24"/>
              </w:rPr>
              <w:t>寻乌-安远-信丰-章贡区-赣县区（渝长厦通道）</w:t>
            </w:r>
          </w:p>
        </w:tc>
      </w:tr>
    </w:tbl>
    <w:p>
      <w:pPr>
        <w:pStyle w:val="6"/>
        <w:keepNext w:val="0"/>
        <w:keepLines w:val="0"/>
        <w:pageBreakBefore w:val="0"/>
        <w:widowControl/>
        <w:kinsoku w:val="0"/>
        <w:wordWrap/>
        <w:overflowPunct/>
        <w:topLinePunct w:val="0"/>
        <w:autoSpaceDE w:val="0"/>
        <w:autoSpaceDN w:val="0"/>
        <w:bidi w:val="0"/>
        <w:adjustRightInd w:val="0"/>
        <w:snapToGrid w:val="0"/>
        <w:spacing w:before="0" w:after="0" w:line="560" w:lineRule="exact"/>
        <w:ind w:firstLine="618" w:firstLineChars="200"/>
        <w:textAlignment w:val="baseline"/>
        <w:rPr>
          <w:rFonts w:hint="eastAsia" w:ascii="楷体_GB2312" w:hAnsi="楷体_GB2312" w:eastAsia="楷体_GB2312" w:cs="楷体_GB2312"/>
          <w:b w:val="0"/>
          <w:color w:val="000000"/>
          <w:szCs w:val="32"/>
        </w:rPr>
      </w:pPr>
      <w:bookmarkStart w:id="13" w:name="_Toc91265243"/>
      <w:bookmarkStart w:id="14" w:name="_Toc151387969"/>
      <w:r>
        <w:rPr>
          <w:rFonts w:hint="eastAsia" w:ascii="楷体_GB2312" w:hAnsi="楷体_GB2312" w:eastAsia="楷体_GB2312" w:cs="楷体_GB2312"/>
          <w:b w:val="0"/>
          <w:color w:val="000000"/>
          <w:szCs w:val="32"/>
        </w:rPr>
        <w:t>（三）</w:t>
      </w:r>
      <w:bookmarkEnd w:id="13"/>
      <w:r>
        <w:rPr>
          <w:rFonts w:hint="eastAsia" w:ascii="楷体_GB2312" w:hAnsi="楷体_GB2312" w:eastAsia="楷体_GB2312" w:cs="楷体_GB2312"/>
          <w:b w:val="0"/>
          <w:color w:val="000000"/>
          <w:szCs w:val="32"/>
        </w:rPr>
        <w:t>完善面向全球的国际运输通道</w:t>
      </w:r>
      <w:bookmarkEnd w:id="14"/>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18" w:firstLineChars="200"/>
        <w:jc w:val="both"/>
        <w:textAlignment w:val="baseline"/>
        <w:rPr>
          <w:rFonts w:hint="eastAsia" w:ascii="宋体" w:hAnsi="宋体" w:eastAsia="仿宋_GB2312" w:cs="仿宋_GB2312"/>
          <w:sz w:val="32"/>
          <w:szCs w:val="32"/>
        </w:rPr>
      </w:pPr>
      <w:r>
        <w:rPr>
          <w:rFonts w:hint="eastAsia" w:ascii="宋体" w:hAnsi="宋体" w:eastAsia="仿宋_GB2312" w:cs="仿宋_GB2312"/>
          <w:sz w:val="32"/>
          <w:szCs w:val="32"/>
        </w:rPr>
        <w:t>全面对接融入“一带一路”建设，以东向南向出海为主导方向、以北向西向跨境为开拓方向，以空中连接东南亚、东北亚、各大洲为重要补充，形成功能完备、立体互联、水陆空统筹的国际运输通道。</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18" w:firstLineChars="200"/>
        <w:jc w:val="both"/>
        <w:textAlignment w:val="baseline"/>
        <w:rPr>
          <w:rFonts w:hint="eastAsia" w:ascii="宋体" w:hAnsi="宋体" w:eastAsia="仿宋_GB2312" w:cs="仿宋_GB2312"/>
          <w:sz w:val="32"/>
          <w:szCs w:val="32"/>
        </w:rPr>
      </w:pPr>
      <w:r>
        <w:rPr>
          <w:rFonts w:hint="eastAsia" w:ascii="宋体" w:hAnsi="宋体" w:eastAsia="仿宋_GB2312" w:cs="仿宋_GB2312"/>
          <w:sz w:val="32"/>
          <w:szCs w:val="32"/>
        </w:rPr>
        <w:t>水路。充分发挥赣江高等级航道通江达海作用，向北对接长江黄金水道。加快赣粤运河建设，打造向南出海新通道。发挥京港澳、渝长厦等综合运输通道水陆联运作用，积极对接沿海国际枢纽港，构建形成高效连通海上丝绸之路沿线国家和地区的多向水运通道。</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18" w:firstLineChars="200"/>
        <w:jc w:val="both"/>
        <w:textAlignment w:val="baseline"/>
        <w:rPr>
          <w:rFonts w:hint="eastAsia" w:ascii="宋体" w:hAnsi="宋体" w:eastAsia="仿宋_GB2312" w:cs="仿宋_GB2312"/>
          <w:sz w:val="32"/>
          <w:szCs w:val="32"/>
        </w:rPr>
      </w:pPr>
      <w:r>
        <w:rPr>
          <w:rFonts w:hint="eastAsia" w:ascii="宋体" w:hAnsi="宋体" w:eastAsia="仿宋_GB2312" w:cs="仿宋_GB2312"/>
          <w:sz w:val="32"/>
          <w:szCs w:val="32"/>
        </w:rPr>
        <w:t>陆路。依托京港澳等综合运输大通道，积极融入国家新亚欧大陆桥、中蒙俄、中国—中亚—西亚、中巴等陆路国际运输通道；依托渝长厦等综合运输大通道，融入中国—中南半岛、中尼印等陆路国际运输通道。发展以中欧班列为重点的国际货运班列，促进国际道路运输便利化。</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18" w:firstLineChars="200"/>
        <w:jc w:val="both"/>
        <w:textAlignment w:val="baseline"/>
        <w:rPr>
          <w:rFonts w:hint="eastAsia" w:ascii="宋体" w:hAnsi="宋体" w:eastAsia="仿宋_GB2312" w:cs="仿宋_GB2312"/>
          <w:sz w:val="32"/>
          <w:szCs w:val="32"/>
        </w:rPr>
      </w:pPr>
      <w:r>
        <w:rPr>
          <w:rFonts w:hint="eastAsia" w:ascii="宋体" w:hAnsi="宋体" w:eastAsia="仿宋_GB2312" w:cs="仿宋_GB2312"/>
          <w:sz w:val="32"/>
          <w:szCs w:val="32"/>
        </w:rPr>
        <w:t xml:space="preserve">航路。推进赣州黄金机场国际航空口岸建设，开拓赣州黄金机场覆盖范围，通达国内主要城市，逐步开通港澳台、东南亚等地区和国际航线，构建省域次中心航空枢纽。开拓赣州瑞金机场至国内重点城市航线，构建赣东南区域航空枢纽。 </w:t>
      </w:r>
    </w:p>
    <w:p>
      <w:pPr>
        <w:pStyle w:val="5"/>
        <w:keepNext w:val="0"/>
        <w:keepLines w:val="0"/>
        <w:pageBreakBefore w:val="0"/>
        <w:widowControl/>
        <w:kinsoku w:val="0"/>
        <w:wordWrap/>
        <w:overflowPunct/>
        <w:topLinePunct w:val="0"/>
        <w:autoSpaceDE w:val="0"/>
        <w:autoSpaceDN w:val="0"/>
        <w:bidi w:val="0"/>
        <w:adjustRightInd w:val="0"/>
        <w:snapToGrid w:val="0"/>
        <w:spacing w:beforeAutospacing="0" w:afterAutospacing="0" w:line="560" w:lineRule="exact"/>
        <w:ind w:firstLine="618" w:firstLineChars="200"/>
        <w:jc w:val="both"/>
        <w:textAlignment w:val="baseline"/>
        <w:rPr>
          <w:rFonts w:eastAsia="黑体" w:cs="黑体"/>
          <w:b w:val="0"/>
          <w:bCs/>
          <w:color w:val="000000"/>
          <w:sz w:val="32"/>
          <w:szCs w:val="32"/>
        </w:rPr>
      </w:pPr>
      <w:bookmarkStart w:id="15" w:name="_Toc91265245"/>
      <w:bookmarkStart w:id="16" w:name="_Toc151387970"/>
      <w:r>
        <w:rPr>
          <w:rFonts w:hint="eastAsia" w:eastAsia="黑体" w:cs="黑体"/>
          <w:b w:val="0"/>
          <w:bCs/>
          <w:color w:val="000000"/>
          <w:sz w:val="32"/>
          <w:szCs w:val="32"/>
        </w:rPr>
        <w:t>三、</w:t>
      </w:r>
      <w:bookmarkEnd w:id="15"/>
      <w:bookmarkStart w:id="17" w:name="_Hlk85096662"/>
      <w:r>
        <w:rPr>
          <w:rFonts w:hint="eastAsia" w:eastAsia="黑体" w:cs="黑体"/>
          <w:b w:val="0"/>
          <w:bCs/>
          <w:color w:val="000000"/>
          <w:sz w:val="32"/>
          <w:szCs w:val="32"/>
        </w:rPr>
        <w:t>构建现代化综合立体交通网</w:t>
      </w:r>
      <w:bookmarkEnd w:id="16"/>
    </w:p>
    <w:p>
      <w:pPr>
        <w:spacing w:line="520" w:lineRule="exact"/>
        <w:ind w:firstLine="618" w:firstLineChars="200"/>
        <w:jc w:val="both"/>
        <w:rPr>
          <w:rFonts w:hint="eastAsia" w:ascii="仿宋_GB2312" w:hAnsi="宋体" w:eastAsia="仿宋_GB2312" w:cs="仿宋_GB2312"/>
          <w:sz w:val="32"/>
          <w:szCs w:val="32"/>
        </w:rPr>
      </w:pPr>
      <w:bookmarkStart w:id="18" w:name="_Toc91265246"/>
      <w:r>
        <w:rPr>
          <w:rFonts w:hint="eastAsia" w:ascii="仿宋_GB2312" w:hAnsi="宋体" w:eastAsia="仿宋_GB2312" w:cs="仿宋_GB2312"/>
          <w:sz w:val="32"/>
          <w:szCs w:val="32"/>
        </w:rPr>
        <w:t>加快构建以高速铁路、高速公路为骨干，普速铁路、普通公路为基础，水运、航空优势充分发挥的综合立体交通网。到2035年，全市综合立体交通网实体线网总规模达到4.9万公里以上。其中，铁路1</w:t>
      </w:r>
      <w:r>
        <w:rPr>
          <w:rFonts w:hint="eastAsia" w:ascii="仿宋_GB2312" w:hAnsi="宋体" w:eastAsia="仿宋_GB2312" w:cs="仿宋_GB2312"/>
          <w:sz w:val="32"/>
          <w:szCs w:val="32"/>
          <w:lang w:val="en-US" w:eastAsia="zh-CN"/>
        </w:rPr>
        <w:t>3</w:t>
      </w:r>
      <w:r>
        <w:rPr>
          <w:rFonts w:hint="eastAsia" w:ascii="仿宋_GB2312" w:hAnsi="宋体" w:eastAsia="仿宋_GB2312" w:cs="仿宋_GB2312"/>
          <w:sz w:val="32"/>
          <w:szCs w:val="32"/>
        </w:rPr>
        <w:t>00公里</w:t>
      </w:r>
      <w:r>
        <w:rPr>
          <w:rFonts w:hint="eastAsia" w:ascii="仿宋_GB2312" w:hAnsi="宋体" w:eastAsia="仿宋_GB2312" w:cs="仿宋_GB2312"/>
          <w:sz w:val="32"/>
          <w:szCs w:val="32"/>
          <w:lang w:val="en-US" w:eastAsia="zh-CN"/>
        </w:rPr>
        <w:t>左右</w:t>
      </w:r>
      <w:r>
        <w:rPr>
          <w:rFonts w:hint="eastAsia" w:ascii="仿宋_GB2312" w:hAnsi="宋体" w:eastAsia="仿宋_GB2312" w:cs="仿宋_GB2312"/>
          <w:sz w:val="32"/>
          <w:szCs w:val="32"/>
        </w:rPr>
        <w:t>，公路4.7万公里左右，航道800公里左右。内河港口1个，运输机场2个，通用机场10个，邮政快递枢纽1个。</w:t>
      </w:r>
    </w:p>
    <w:p>
      <w:pPr>
        <w:pStyle w:val="6"/>
        <w:keepNext w:val="0"/>
        <w:keepLines w:val="0"/>
        <w:spacing w:before="0" w:after="0" w:line="520" w:lineRule="exact"/>
        <w:ind w:firstLine="618" w:firstLineChars="200"/>
        <w:rPr>
          <w:rFonts w:hint="eastAsia" w:ascii="楷体_GB2312" w:hAnsi="楷体_GB2312" w:eastAsia="楷体_GB2312" w:cs="楷体_GB2312"/>
          <w:b w:val="0"/>
          <w:color w:val="000000"/>
          <w:szCs w:val="32"/>
        </w:rPr>
      </w:pPr>
      <w:bookmarkStart w:id="19" w:name="_Toc151387971"/>
      <w:r>
        <w:rPr>
          <w:rFonts w:hint="eastAsia" w:ascii="楷体_GB2312" w:hAnsi="楷体_GB2312" w:eastAsia="楷体_GB2312" w:cs="楷体_GB2312"/>
          <w:b w:val="0"/>
          <w:color w:val="000000"/>
          <w:szCs w:val="32"/>
        </w:rPr>
        <w:t>（一）</w:t>
      </w:r>
      <w:bookmarkEnd w:id="18"/>
      <w:bookmarkStart w:id="20" w:name="_Hlk85185103"/>
      <w:bookmarkStart w:id="21" w:name="_Hlk82163041"/>
      <w:r>
        <w:rPr>
          <w:rFonts w:hint="eastAsia" w:ascii="楷体_GB2312" w:hAnsi="楷体_GB2312" w:eastAsia="楷体_GB2312" w:cs="楷体_GB2312"/>
          <w:b w:val="0"/>
          <w:color w:val="000000"/>
          <w:szCs w:val="32"/>
        </w:rPr>
        <w:t>构建多层次一体化的轨道交通网</w:t>
      </w:r>
      <w:bookmarkEnd w:id="19"/>
    </w:p>
    <w:bookmarkEnd w:id="20"/>
    <w:p>
      <w:pPr>
        <w:spacing w:line="520" w:lineRule="exact"/>
        <w:ind w:firstLine="618" w:firstLineChars="200"/>
        <w:jc w:val="both"/>
        <w:rPr>
          <w:rFonts w:hint="eastAsia" w:ascii="仿宋_GB2312" w:hAnsi="宋体" w:eastAsia="仿宋_GB2312" w:cs="仿宋_GB2312"/>
          <w:sz w:val="32"/>
          <w:szCs w:val="32"/>
        </w:rPr>
      </w:pPr>
      <w:r>
        <w:rPr>
          <w:rFonts w:hint="eastAsia" w:ascii="仿宋_GB2312" w:hAnsi="宋体" w:eastAsia="仿宋_GB2312" w:cs="仿宋_GB2312"/>
          <w:sz w:val="32"/>
          <w:szCs w:val="32"/>
        </w:rPr>
        <w:t>扩大</w:t>
      </w:r>
      <w:r>
        <w:rPr>
          <w:rFonts w:hint="eastAsia" w:ascii="仿宋_GB2312" w:hAnsi="宋体" w:eastAsia="仿宋_GB2312" w:cs="仿宋_GB2312"/>
          <w:sz w:val="32"/>
          <w:szCs w:val="32"/>
          <w:lang w:val="en-US" w:eastAsia="zh-CN"/>
        </w:rPr>
        <w:t>快</w:t>
      </w:r>
      <w:r>
        <w:rPr>
          <w:rFonts w:hint="eastAsia" w:ascii="仿宋_GB2312" w:hAnsi="宋体" w:eastAsia="仿宋_GB2312" w:cs="仿宋_GB2312"/>
          <w:sz w:val="32"/>
          <w:szCs w:val="32"/>
        </w:rPr>
        <w:t>速铁路网覆盖。以京九纵向通道，渝长厦、兴永郴赣横向通道为骨架，构建四通八达、高效快捷、布局合理的“一纵二横”高速铁路网，总规模达到</w:t>
      </w:r>
      <w:r>
        <w:rPr>
          <w:rFonts w:hint="eastAsia" w:ascii="仿宋_GB2312" w:hAnsi="宋体" w:eastAsia="仿宋_GB2312" w:cs="仿宋_GB2312"/>
          <w:sz w:val="32"/>
          <w:szCs w:val="32"/>
          <w:lang w:val="en-US" w:eastAsia="zh-CN"/>
        </w:rPr>
        <w:t>5</w:t>
      </w:r>
      <w:r>
        <w:rPr>
          <w:rFonts w:hint="eastAsia" w:ascii="仿宋_GB2312" w:hAnsi="宋体" w:eastAsia="仿宋_GB2312" w:cs="仿宋_GB2312"/>
          <w:sz w:val="32"/>
          <w:szCs w:val="32"/>
        </w:rPr>
        <w:t>00公里以上。推动赣广高铁、赣韶高铁前期规划研究，深度对接融入粤港澳大湾区。</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5000" w:type="pct"/>
            <w:noWrap w:val="0"/>
            <w:vAlign w:val="center"/>
          </w:tcPr>
          <w:p>
            <w:pPr>
              <w:overflowPunct w:val="0"/>
              <w:adjustRightInd w:val="0"/>
              <w:snapToGrid w:val="0"/>
              <w:spacing w:line="400" w:lineRule="exact"/>
              <w:jc w:val="center"/>
              <w:rPr>
                <w:rFonts w:ascii="宋体" w:hAnsi="宋体"/>
                <w:color w:val="000000"/>
                <w:sz w:val="24"/>
              </w:rPr>
            </w:pPr>
            <w:r>
              <w:rPr>
                <w:rFonts w:ascii="宋体" w:hAnsi="宋体" w:eastAsia="黑体"/>
                <w:color w:val="000000"/>
                <w:sz w:val="28"/>
                <w:szCs w:val="28"/>
              </w:rPr>
              <w:t>专栏</w:t>
            </w:r>
            <w:r>
              <w:rPr>
                <w:rFonts w:hint="eastAsia" w:ascii="宋体" w:hAnsi="宋体" w:eastAsia="黑体"/>
                <w:color w:val="000000"/>
                <w:sz w:val="28"/>
                <w:szCs w:val="28"/>
              </w:rPr>
              <w:t>四：</w:t>
            </w:r>
            <w:r>
              <w:rPr>
                <w:rFonts w:ascii="宋体" w:hAnsi="宋体" w:eastAsia="黑体"/>
                <w:color w:val="000000"/>
                <w:sz w:val="28"/>
                <w:szCs w:val="28"/>
              </w:rPr>
              <w:t xml:space="preserve">  </w:t>
            </w:r>
            <w:r>
              <w:rPr>
                <w:rFonts w:hint="eastAsia" w:ascii="宋体" w:hAnsi="宋体" w:eastAsia="黑体"/>
                <w:color w:val="000000"/>
                <w:sz w:val="28"/>
                <w:szCs w:val="28"/>
              </w:rPr>
              <w:t>“一纵二横</w:t>
            </w:r>
            <w:r>
              <w:rPr>
                <w:rFonts w:hint="eastAsia" w:ascii="宋体" w:hAnsi="宋体" w:eastAsia="黑体"/>
                <w:color w:val="000000"/>
                <w:sz w:val="28"/>
                <w:szCs w:val="28"/>
                <w:lang w:val="en-US" w:eastAsia="zh-CN"/>
              </w:rPr>
              <w:t>一放射</w:t>
            </w:r>
            <w:r>
              <w:rPr>
                <w:rFonts w:hint="eastAsia" w:ascii="宋体" w:hAnsi="宋体" w:eastAsia="黑体"/>
                <w:color w:val="000000"/>
                <w:sz w:val="28"/>
                <w:szCs w:val="28"/>
              </w:rPr>
              <w:t>”</w:t>
            </w:r>
            <w:r>
              <w:rPr>
                <w:rFonts w:hint="eastAsia" w:ascii="宋体" w:hAnsi="宋体" w:eastAsia="黑体"/>
                <w:color w:val="000000"/>
                <w:sz w:val="28"/>
                <w:szCs w:val="28"/>
                <w:lang w:val="en-US" w:eastAsia="zh-CN"/>
              </w:rPr>
              <w:t>快速铁路</w:t>
            </w:r>
            <w:r>
              <w:rPr>
                <w:rFonts w:hint="eastAsia" w:ascii="宋体" w:hAnsi="宋体" w:eastAsia="黑体"/>
                <w:color w:val="000000"/>
                <w:sz w:val="28"/>
                <w:szCs w:val="28"/>
              </w:rPr>
              <w:t>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5000" w:type="pct"/>
            <w:noWrap w:val="0"/>
            <w:vAlign w:val="center"/>
          </w:tcPr>
          <w:p>
            <w:pPr>
              <w:overflowPunct w:val="0"/>
              <w:adjustRightInd w:val="0"/>
              <w:snapToGrid w:val="0"/>
              <w:spacing w:before="287" w:beforeLines="50" w:line="336" w:lineRule="auto"/>
              <w:ind w:firstLine="458" w:firstLineChars="200"/>
              <w:rPr>
                <w:rFonts w:hint="eastAsia" w:ascii="楷体_GB2312" w:hAnsi="宋体" w:eastAsia="楷体_GB2312"/>
                <w:b/>
                <w:bCs/>
                <w:color w:val="000000"/>
                <w:sz w:val="24"/>
              </w:rPr>
            </w:pPr>
            <w:r>
              <w:rPr>
                <w:rFonts w:hint="eastAsia" w:ascii="楷体_GB2312" w:hAnsi="宋体" w:eastAsia="楷体_GB2312"/>
                <w:b/>
                <w:bCs/>
                <w:color w:val="000000"/>
                <w:sz w:val="24"/>
              </w:rPr>
              <w:t>一纵</w:t>
            </w:r>
          </w:p>
          <w:p>
            <w:pPr>
              <w:pStyle w:val="2"/>
              <w:adjustRightInd w:val="0"/>
              <w:snapToGrid w:val="0"/>
              <w:spacing w:line="336" w:lineRule="auto"/>
              <w:ind w:firstLine="458" w:firstLineChars="200"/>
              <w:rPr>
                <w:sz w:val="24"/>
              </w:rPr>
            </w:pPr>
            <w:r>
              <w:rPr>
                <w:rFonts w:hint="eastAsia"/>
                <w:sz w:val="24"/>
              </w:rPr>
              <w:t>京九通道。昌赣高铁、赣深高铁</w:t>
            </w:r>
          </w:p>
          <w:p>
            <w:pPr>
              <w:overflowPunct w:val="0"/>
              <w:adjustRightInd w:val="0"/>
              <w:snapToGrid w:val="0"/>
              <w:spacing w:line="336" w:lineRule="auto"/>
              <w:ind w:firstLine="458" w:firstLineChars="200"/>
              <w:rPr>
                <w:rFonts w:hint="eastAsia" w:ascii="楷体_GB2312" w:hAnsi="宋体" w:eastAsia="楷体_GB2312"/>
                <w:b/>
                <w:bCs/>
                <w:color w:val="000000"/>
                <w:sz w:val="24"/>
              </w:rPr>
            </w:pPr>
            <w:r>
              <w:rPr>
                <w:rFonts w:hint="eastAsia" w:ascii="楷体_GB2312" w:hAnsi="宋体" w:eastAsia="楷体_GB2312"/>
                <w:b/>
                <w:bCs/>
                <w:color w:val="000000"/>
                <w:sz w:val="24"/>
              </w:rPr>
              <w:t>二横</w:t>
            </w:r>
          </w:p>
          <w:p>
            <w:pPr>
              <w:pStyle w:val="2"/>
              <w:adjustRightInd w:val="0"/>
              <w:snapToGrid w:val="0"/>
              <w:spacing w:line="336" w:lineRule="auto"/>
              <w:ind w:firstLine="458" w:firstLineChars="200"/>
              <w:rPr>
                <w:sz w:val="24"/>
              </w:rPr>
            </w:pPr>
            <w:r>
              <w:rPr>
                <w:rFonts w:hint="eastAsia"/>
                <w:sz w:val="24"/>
              </w:rPr>
              <w:t>渝长厦</w:t>
            </w:r>
            <w:r>
              <w:rPr>
                <w:rFonts w:hint="eastAsia"/>
                <w:sz w:val="24"/>
                <w:lang w:val="en-US" w:eastAsia="zh-CN"/>
              </w:rPr>
              <w:t>通道</w:t>
            </w:r>
            <w:r>
              <w:rPr>
                <w:rFonts w:hint="eastAsia"/>
                <w:sz w:val="24"/>
              </w:rPr>
              <w:t>。长赣高铁（</w:t>
            </w:r>
            <w:r>
              <w:rPr>
                <w:rFonts w:hint="eastAsia"/>
                <w:sz w:val="24"/>
                <w:lang w:val="en-US" w:eastAsia="zh-CN"/>
              </w:rPr>
              <w:t>在建</w:t>
            </w:r>
            <w:r>
              <w:rPr>
                <w:rFonts w:hint="eastAsia"/>
                <w:sz w:val="24"/>
              </w:rPr>
              <w:t>）、赣龙厦高铁（规划）、赣瑞龙铁路</w:t>
            </w:r>
          </w:p>
          <w:p>
            <w:pPr>
              <w:pStyle w:val="2"/>
              <w:adjustRightInd w:val="0"/>
              <w:snapToGrid w:val="0"/>
              <w:spacing w:line="336" w:lineRule="auto"/>
              <w:ind w:firstLine="458" w:firstLineChars="200"/>
              <w:rPr>
                <w:rFonts w:hint="eastAsia"/>
                <w:sz w:val="24"/>
              </w:rPr>
            </w:pPr>
            <w:r>
              <w:rPr>
                <w:rFonts w:hint="eastAsia"/>
                <w:sz w:val="24"/>
              </w:rPr>
              <w:t>兴永郴赣铁路(规划)</w:t>
            </w:r>
          </w:p>
          <w:p>
            <w:pPr>
              <w:overflowPunct w:val="0"/>
              <w:adjustRightInd w:val="0"/>
              <w:snapToGrid w:val="0"/>
              <w:spacing w:line="336" w:lineRule="auto"/>
              <w:ind w:firstLine="458" w:firstLineChars="200"/>
              <w:rPr>
                <w:rFonts w:hint="eastAsia" w:ascii="楷体_GB2312" w:hAnsi="宋体" w:eastAsia="楷体_GB2312"/>
                <w:b/>
                <w:bCs/>
                <w:color w:val="000000"/>
                <w:sz w:val="24"/>
                <w:lang w:val="en-US" w:eastAsia="zh-CN"/>
              </w:rPr>
            </w:pPr>
            <w:r>
              <w:rPr>
                <w:rFonts w:hint="eastAsia" w:ascii="楷体_GB2312" w:hAnsi="宋体" w:eastAsia="楷体_GB2312"/>
                <w:b/>
                <w:bCs/>
                <w:color w:val="000000"/>
                <w:sz w:val="24"/>
                <w:lang w:val="en-US" w:eastAsia="zh-CN"/>
              </w:rPr>
              <w:t>一放射</w:t>
            </w:r>
          </w:p>
          <w:p>
            <w:pPr>
              <w:pStyle w:val="2"/>
              <w:keepNext w:val="0"/>
              <w:keepLines w:val="0"/>
              <w:pageBreakBefore w:val="0"/>
              <w:widowControl w:val="0"/>
              <w:kinsoku w:val="0"/>
              <w:wordWrap/>
              <w:overflowPunct/>
              <w:topLinePunct w:val="0"/>
              <w:autoSpaceDE w:val="0"/>
              <w:autoSpaceDN w:val="0"/>
              <w:bidi w:val="0"/>
              <w:adjustRightInd w:val="0"/>
              <w:snapToGrid w:val="0"/>
              <w:spacing w:line="336" w:lineRule="auto"/>
              <w:ind w:left="147" w:firstLine="458" w:firstLineChars="200"/>
              <w:textAlignment w:val="baseline"/>
              <w:rPr>
                <w:rFonts w:hint="default"/>
                <w:sz w:val="24"/>
                <w:lang w:val="en-US" w:eastAsia="zh-CN"/>
              </w:rPr>
            </w:pPr>
            <w:r>
              <w:rPr>
                <w:rFonts w:hint="eastAsia"/>
                <w:sz w:val="24"/>
                <w:lang w:val="en-US" w:eastAsia="zh-CN"/>
              </w:rPr>
              <w:t>赣韶铁路扩能工程（规划）</w:t>
            </w:r>
          </w:p>
        </w:tc>
      </w:tr>
    </w:tbl>
    <w:p>
      <w:pPr>
        <w:spacing w:line="520" w:lineRule="exact"/>
        <w:ind w:firstLine="618" w:firstLineChars="200"/>
        <w:jc w:val="both"/>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完善普速铁路网布局。以京九、鹰梅纵向干线通道，兴泉、昆厦横向干线通道为骨架，赣韶通道为放射线，构建覆盖广泛、内联外通、能力充分的“两纵两横一放射”普速铁路网，总规模达到</w:t>
      </w:r>
      <w:r>
        <w:rPr>
          <w:rFonts w:hint="eastAsia" w:ascii="仿宋_GB2312" w:hAnsi="宋体" w:eastAsia="仿宋_GB2312" w:cs="仿宋_GB2312"/>
          <w:color w:val="000000"/>
          <w:sz w:val="32"/>
          <w:szCs w:val="32"/>
          <w:lang w:val="en-US" w:eastAsia="zh-CN"/>
        </w:rPr>
        <w:t>8</w:t>
      </w:r>
      <w:r>
        <w:rPr>
          <w:rFonts w:hint="eastAsia" w:ascii="仿宋_GB2312" w:hAnsi="宋体" w:eastAsia="仿宋_GB2312" w:cs="仿宋_GB2312"/>
          <w:color w:val="000000"/>
          <w:sz w:val="32"/>
          <w:szCs w:val="32"/>
        </w:rPr>
        <w:t>00公里</w:t>
      </w:r>
      <w:r>
        <w:rPr>
          <w:rFonts w:hint="eastAsia" w:ascii="仿宋_GB2312" w:hAnsi="宋体" w:eastAsia="仿宋_GB2312" w:cs="仿宋_GB2312"/>
          <w:color w:val="000000"/>
          <w:sz w:val="32"/>
          <w:szCs w:val="32"/>
          <w:lang w:val="en-US" w:eastAsia="zh-CN"/>
        </w:rPr>
        <w:t>左右</w:t>
      </w:r>
      <w:r>
        <w:rPr>
          <w:rFonts w:hint="eastAsia" w:ascii="仿宋_GB2312" w:hAnsi="宋体" w:eastAsia="仿宋_GB2312" w:cs="仿宋_GB2312"/>
          <w:color w:val="000000"/>
          <w:sz w:val="32"/>
          <w:szCs w:val="32"/>
        </w:rPr>
        <w:t>，覆盖90%以上县（市、区）。坚持新建与改造并举，加强已有铁路改造，提高电气化水平和复线率。</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5000" w:type="pct"/>
            <w:noWrap w:val="0"/>
            <w:vAlign w:val="center"/>
          </w:tcPr>
          <w:p>
            <w:pPr>
              <w:overflowPunct w:val="0"/>
              <w:adjustRightInd w:val="0"/>
              <w:snapToGrid w:val="0"/>
              <w:spacing w:line="400" w:lineRule="exact"/>
              <w:jc w:val="center"/>
              <w:rPr>
                <w:rFonts w:ascii="宋体" w:hAnsi="宋体"/>
                <w:color w:val="000000"/>
                <w:sz w:val="24"/>
              </w:rPr>
            </w:pPr>
            <w:r>
              <w:rPr>
                <w:rFonts w:ascii="宋体" w:hAnsi="宋体" w:eastAsia="黑体"/>
                <w:color w:val="000000"/>
                <w:sz w:val="28"/>
                <w:szCs w:val="28"/>
              </w:rPr>
              <w:t>专栏</w:t>
            </w:r>
            <w:r>
              <w:rPr>
                <w:rFonts w:hint="eastAsia" w:ascii="宋体" w:hAnsi="宋体" w:eastAsia="黑体"/>
                <w:color w:val="000000"/>
                <w:sz w:val="28"/>
                <w:szCs w:val="28"/>
              </w:rPr>
              <w:t>五：</w:t>
            </w:r>
            <w:r>
              <w:rPr>
                <w:rFonts w:ascii="宋体" w:hAnsi="宋体" w:eastAsia="黑体"/>
                <w:color w:val="000000"/>
                <w:sz w:val="28"/>
                <w:szCs w:val="28"/>
              </w:rPr>
              <w:t xml:space="preserve"> </w:t>
            </w:r>
            <w:r>
              <w:rPr>
                <w:rFonts w:hint="eastAsia" w:ascii="宋体" w:hAnsi="宋体" w:eastAsia="黑体"/>
                <w:color w:val="000000"/>
                <w:sz w:val="28"/>
                <w:szCs w:val="28"/>
              </w:rPr>
              <w:t>“两纵两横一放射”普速铁路布局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5000" w:type="pct"/>
            <w:noWrap w:val="0"/>
            <w:vAlign w:val="center"/>
          </w:tcPr>
          <w:p>
            <w:pPr>
              <w:overflowPunct w:val="0"/>
              <w:adjustRightInd w:val="0"/>
              <w:snapToGrid w:val="0"/>
              <w:spacing w:before="287" w:beforeLines="50" w:line="336" w:lineRule="auto"/>
              <w:ind w:firstLine="458" w:firstLineChars="200"/>
              <w:rPr>
                <w:rFonts w:hint="eastAsia" w:ascii="楷体_GB2312" w:hAnsi="宋体" w:eastAsia="楷体_GB2312"/>
                <w:b/>
                <w:bCs/>
                <w:color w:val="000000"/>
                <w:sz w:val="24"/>
              </w:rPr>
            </w:pPr>
            <w:r>
              <w:rPr>
                <w:rFonts w:hint="eastAsia" w:ascii="楷体_GB2312" w:hAnsi="宋体" w:eastAsia="楷体_GB2312"/>
                <w:b/>
                <w:bCs/>
                <w:color w:val="000000"/>
                <w:sz w:val="24"/>
              </w:rPr>
              <w:t>两纵</w:t>
            </w:r>
          </w:p>
          <w:p>
            <w:pPr>
              <w:pStyle w:val="2"/>
              <w:adjustRightInd w:val="0"/>
              <w:snapToGrid w:val="0"/>
              <w:spacing w:line="336" w:lineRule="auto"/>
              <w:ind w:firstLine="458" w:firstLineChars="200"/>
              <w:rPr>
                <w:sz w:val="24"/>
              </w:rPr>
            </w:pPr>
            <w:r>
              <w:rPr>
                <w:rFonts w:hint="eastAsia"/>
                <w:sz w:val="24"/>
              </w:rPr>
              <w:t>京九通道。京九铁路</w:t>
            </w:r>
          </w:p>
          <w:p>
            <w:pPr>
              <w:keepNext w:val="0"/>
              <w:keepLines w:val="0"/>
              <w:pageBreakBefore w:val="0"/>
              <w:widowControl/>
              <w:kinsoku w:val="0"/>
              <w:wordWrap/>
              <w:overflowPunct w:val="0"/>
              <w:topLinePunct w:val="0"/>
              <w:autoSpaceDE w:val="0"/>
              <w:autoSpaceDN w:val="0"/>
              <w:bidi w:val="0"/>
              <w:adjustRightInd w:val="0"/>
              <w:snapToGrid w:val="0"/>
              <w:spacing w:line="336" w:lineRule="auto"/>
              <w:ind w:left="51" w:leftChars="26" w:firstLine="458" w:firstLineChars="200"/>
              <w:textAlignment w:val="baseline"/>
              <w:rPr>
                <w:rFonts w:ascii="宋体" w:hAnsi="宋体"/>
                <w:kern w:val="0"/>
                <w:sz w:val="24"/>
              </w:rPr>
            </w:pPr>
            <w:r>
              <w:rPr>
                <w:rFonts w:hint="eastAsia" w:ascii="宋体" w:hAnsi="宋体"/>
                <w:kern w:val="0"/>
                <w:sz w:val="24"/>
              </w:rPr>
              <w:t>鹰梅通道。瑞梅铁路（在建）、景鹰瑞铁路（规划）</w:t>
            </w:r>
          </w:p>
          <w:p>
            <w:pPr>
              <w:overflowPunct w:val="0"/>
              <w:adjustRightInd w:val="0"/>
              <w:snapToGrid w:val="0"/>
              <w:spacing w:line="336" w:lineRule="auto"/>
              <w:ind w:firstLine="458" w:firstLineChars="200"/>
              <w:rPr>
                <w:rFonts w:hint="eastAsia" w:ascii="楷体_GB2312" w:hAnsi="宋体" w:eastAsia="楷体_GB2312"/>
                <w:b/>
                <w:bCs/>
                <w:color w:val="000000"/>
                <w:sz w:val="24"/>
              </w:rPr>
            </w:pPr>
            <w:r>
              <w:rPr>
                <w:rFonts w:hint="eastAsia" w:ascii="楷体_GB2312" w:hAnsi="宋体" w:eastAsia="楷体_GB2312"/>
                <w:b/>
                <w:bCs/>
                <w:color w:val="000000"/>
                <w:sz w:val="24"/>
              </w:rPr>
              <w:t>两横</w:t>
            </w:r>
          </w:p>
          <w:p>
            <w:pPr>
              <w:pStyle w:val="2"/>
              <w:adjustRightInd w:val="0"/>
              <w:snapToGrid w:val="0"/>
              <w:spacing w:line="336" w:lineRule="auto"/>
              <w:ind w:firstLine="458" w:firstLineChars="200"/>
              <w:rPr>
                <w:rFonts w:hint="eastAsia" w:eastAsia="宋体"/>
                <w:sz w:val="24"/>
                <w:lang w:eastAsia="zh-CN"/>
              </w:rPr>
            </w:pPr>
            <w:r>
              <w:rPr>
                <w:rFonts w:hint="eastAsia"/>
                <w:sz w:val="24"/>
              </w:rPr>
              <w:t>兴泉通道。兴泉铁路、井兴铁路</w:t>
            </w:r>
            <w:r>
              <w:rPr>
                <w:rFonts w:hint="eastAsia"/>
                <w:sz w:val="24"/>
                <w:lang w:eastAsia="zh-CN"/>
              </w:rPr>
              <w:t>（</w:t>
            </w:r>
            <w:r>
              <w:rPr>
                <w:rFonts w:hint="eastAsia"/>
                <w:sz w:val="24"/>
                <w:lang w:val="en-US" w:eastAsia="zh-CN"/>
              </w:rPr>
              <w:t>规划</w:t>
            </w:r>
            <w:r>
              <w:rPr>
                <w:rFonts w:hint="eastAsia"/>
                <w:sz w:val="24"/>
                <w:lang w:eastAsia="zh-CN"/>
              </w:rPr>
              <w:t>）</w:t>
            </w:r>
          </w:p>
          <w:p>
            <w:pPr>
              <w:pStyle w:val="2"/>
              <w:adjustRightInd w:val="0"/>
              <w:snapToGrid w:val="0"/>
              <w:spacing w:line="336" w:lineRule="auto"/>
              <w:ind w:firstLine="458" w:firstLineChars="200"/>
              <w:rPr>
                <w:sz w:val="24"/>
              </w:rPr>
            </w:pPr>
            <w:r>
              <w:rPr>
                <w:rFonts w:hint="eastAsia"/>
                <w:sz w:val="24"/>
              </w:rPr>
              <w:t>昆厦通道。赣龙铁路</w:t>
            </w:r>
          </w:p>
          <w:p>
            <w:pPr>
              <w:pStyle w:val="2"/>
              <w:adjustRightInd w:val="0"/>
              <w:snapToGrid w:val="0"/>
              <w:spacing w:line="336" w:lineRule="auto"/>
              <w:ind w:firstLine="458" w:firstLineChars="200"/>
              <w:rPr>
                <w:rFonts w:hint="eastAsia"/>
                <w:sz w:val="24"/>
              </w:rPr>
            </w:pPr>
            <w:r>
              <w:rPr>
                <w:rFonts w:hint="eastAsia" w:ascii="楷体_GB2312" w:eastAsia="楷体_GB2312"/>
                <w:b/>
                <w:bCs/>
                <w:color w:val="000000"/>
                <w:sz w:val="24"/>
              </w:rPr>
              <w:t>一放射</w:t>
            </w:r>
          </w:p>
          <w:p>
            <w:pPr>
              <w:pStyle w:val="24"/>
              <w:adjustRightInd w:val="0"/>
              <w:snapToGrid w:val="0"/>
              <w:spacing w:line="336" w:lineRule="auto"/>
              <w:ind w:firstLine="458" w:firstLineChars="200"/>
              <w:rPr>
                <w:rFonts w:hint="eastAsia"/>
                <w:sz w:val="24"/>
              </w:rPr>
            </w:pPr>
            <w:r>
              <w:rPr>
                <w:rFonts w:hint="eastAsia"/>
                <w:sz w:val="24"/>
              </w:rPr>
              <w:t>赣韶通道。赣韶铁路</w:t>
            </w:r>
          </w:p>
        </w:tc>
      </w:tr>
    </w:tbl>
    <w:p>
      <w:pPr>
        <w:spacing w:line="520" w:lineRule="exact"/>
        <w:ind w:firstLine="618" w:firstLineChars="200"/>
        <w:jc w:val="both"/>
        <w:rPr>
          <w:rFonts w:ascii="宋体" w:hAnsi="宋体" w:eastAsia="仿宋_GB2312" w:cs="仿宋_GB2312"/>
          <w:color w:val="000000"/>
          <w:sz w:val="32"/>
          <w:szCs w:val="32"/>
        </w:rPr>
      </w:pPr>
      <w:r>
        <w:rPr>
          <w:rFonts w:hint="eastAsia" w:ascii="宋体" w:hAnsi="宋体" w:eastAsia="仿宋_GB2312" w:cs="仿宋_GB2312"/>
          <w:color w:val="000000"/>
          <w:sz w:val="32"/>
          <w:szCs w:val="32"/>
        </w:rPr>
        <w:t>发展城际铁路</w:t>
      </w:r>
      <w:r>
        <w:rPr>
          <w:rFonts w:hint="eastAsia" w:ascii="宋体" w:hAnsi="宋体" w:eastAsia="仿宋_GB2312" w:cs="仿宋_GB2312"/>
          <w:color w:val="000000"/>
          <w:sz w:val="32"/>
          <w:szCs w:val="32"/>
          <w:lang w:eastAsia="zh-CN"/>
        </w:rPr>
        <w:t>、</w:t>
      </w:r>
      <w:r>
        <w:rPr>
          <w:rFonts w:hint="eastAsia" w:ascii="宋体" w:hAnsi="宋体" w:eastAsia="仿宋_GB2312" w:cs="仿宋_GB2312"/>
          <w:color w:val="000000"/>
          <w:sz w:val="32"/>
          <w:szCs w:val="32"/>
        </w:rPr>
        <w:t>市域（郊）铁路</w:t>
      </w:r>
      <w:r>
        <w:rPr>
          <w:rFonts w:hint="eastAsia" w:ascii="宋体" w:hAnsi="宋体" w:eastAsia="仿宋_GB2312" w:cs="仿宋_GB2312"/>
          <w:color w:val="000000"/>
          <w:sz w:val="32"/>
          <w:szCs w:val="32"/>
          <w:lang w:val="en-US" w:eastAsia="zh-CN"/>
        </w:rPr>
        <w:t>和铁路专用线</w:t>
      </w:r>
      <w:r>
        <w:rPr>
          <w:rFonts w:hint="eastAsia" w:ascii="宋体" w:hAnsi="宋体" w:eastAsia="仿宋_GB2312" w:cs="仿宋_GB2312"/>
          <w:color w:val="000000"/>
          <w:sz w:val="32"/>
          <w:szCs w:val="32"/>
        </w:rPr>
        <w:t>。积极推进赣州城际铁路</w:t>
      </w:r>
      <w:r>
        <w:rPr>
          <w:rFonts w:hint="eastAsia" w:ascii="宋体" w:hAnsi="宋体" w:eastAsia="仿宋_GB2312" w:cs="仿宋_GB2312"/>
          <w:color w:val="000000"/>
          <w:sz w:val="32"/>
          <w:szCs w:val="32"/>
          <w:lang w:eastAsia="zh-CN"/>
        </w:rPr>
        <w:t>、</w:t>
      </w:r>
      <w:r>
        <w:rPr>
          <w:rFonts w:hint="eastAsia" w:ascii="宋体" w:hAnsi="宋体" w:eastAsia="仿宋_GB2312" w:cs="仿宋_GB2312"/>
          <w:color w:val="000000"/>
          <w:sz w:val="32"/>
          <w:szCs w:val="32"/>
        </w:rPr>
        <w:t>市域（郊）铁路研究建设</w:t>
      </w:r>
      <w:r>
        <w:rPr>
          <w:rFonts w:hint="eastAsia" w:ascii="宋体" w:hAnsi="宋体" w:eastAsia="仿宋_GB2312" w:cs="仿宋_GB2312"/>
          <w:color w:val="000000"/>
          <w:sz w:val="32"/>
          <w:szCs w:val="32"/>
          <w:lang w:eastAsia="zh-CN"/>
        </w:rPr>
        <w:t>，</w:t>
      </w:r>
      <w:r>
        <w:rPr>
          <w:rFonts w:hint="eastAsia" w:ascii="宋体" w:hAnsi="宋体" w:eastAsia="仿宋_GB2312" w:cs="仿宋_GB2312"/>
          <w:color w:val="000000"/>
          <w:sz w:val="32"/>
          <w:szCs w:val="32"/>
          <w:lang w:val="en-US" w:eastAsia="zh-CN"/>
        </w:rPr>
        <w:t>推进铁路专用线进厂矿、进码头、进园区</w:t>
      </w:r>
      <w:r>
        <w:rPr>
          <w:rFonts w:hint="eastAsia" w:ascii="宋体" w:hAnsi="宋体" w:eastAsia="仿宋_GB2312" w:cs="仿宋_GB2312"/>
          <w:color w:val="000000"/>
          <w:sz w:val="32"/>
          <w:szCs w:val="32"/>
        </w:rPr>
        <w:t>。规划研究兴国—于都、安远—全南和崇义—大余市域铁路。</w:t>
      </w:r>
    </w:p>
    <w:bookmarkEnd w:id="17"/>
    <w:bookmarkEnd w:id="21"/>
    <w:p>
      <w:pPr>
        <w:pStyle w:val="6"/>
        <w:keepNext w:val="0"/>
        <w:keepLines w:val="0"/>
        <w:spacing w:before="0" w:after="0" w:line="520" w:lineRule="exact"/>
        <w:ind w:firstLine="618" w:firstLineChars="200"/>
        <w:jc w:val="both"/>
        <w:rPr>
          <w:rFonts w:hint="eastAsia" w:ascii="楷体_GB2312" w:hAnsi="楷体_GB2312" w:eastAsia="楷体_GB2312" w:cs="楷体_GB2312"/>
          <w:b w:val="0"/>
          <w:color w:val="000000"/>
          <w:szCs w:val="32"/>
        </w:rPr>
      </w:pPr>
      <w:bookmarkStart w:id="22" w:name="_Toc91265247"/>
      <w:bookmarkStart w:id="23" w:name="_Toc151387972"/>
      <w:r>
        <w:rPr>
          <w:rFonts w:hint="eastAsia" w:ascii="楷体_GB2312" w:hAnsi="楷体_GB2312" w:eastAsia="楷体_GB2312" w:cs="楷体_GB2312"/>
          <w:b w:val="0"/>
          <w:color w:val="000000"/>
          <w:szCs w:val="32"/>
        </w:rPr>
        <w:t>（二）</w:t>
      </w:r>
      <w:bookmarkEnd w:id="22"/>
      <w:r>
        <w:rPr>
          <w:rFonts w:hint="eastAsia" w:ascii="楷体_GB2312" w:hAnsi="楷体_GB2312" w:eastAsia="楷体_GB2312" w:cs="楷体_GB2312"/>
          <w:b w:val="0"/>
          <w:color w:val="000000"/>
          <w:szCs w:val="32"/>
        </w:rPr>
        <w:t>完善广覆深达的公路网</w:t>
      </w:r>
      <w:bookmarkEnd w:id="23"/>
    </w:p>
    <w:p>
      <w:pPr>
        <w:spacing w:line="520" w:lineRule="exact"/>
        <w:ind w:firstLine="618" w:firstLineChars="200"/>
        <w:jc w:val="both"/>
        <w:rPr>
          <w:rFonts w:hint="eastAsia" w:ascii="仿宋_GB2312" w:hAnsi="宋体" w:eastAsia="仿宋_GB2312" w:cs="仿宋_GB2312"/>
          <w:color w:val="000000"/>
          <w:sz w:val="32"/>
          <w:szCs w:val="32"/>
        </w:rPr>
      </w:pPr>
      <w:bookmarkStart w:id="24" w:name="_Hlk82011718"/>
      <w:r>
        <w:rPr>
          <w:rFonts w:hint="eastAsia" w:ascii="仿宋_GB2312" w:hAnsi="宋体" w:eastAsia="仿宋_GB2312" w:cs="仿宋_GB2312"/>
          <w:color w:val="000000"/>
          <w:sz w:val="32"/>
          <w:szCs w:val="32"/>
        </w:rPr>
        <w:t>完善高速公路网。加强主要通道国家高速公路扩容</w:t>
      </w:r>
      <w:r>
        <w:rPr>
          <w:rFonts w:hint="eastAsia" w:ascii="仿宋_GB2312" w:hAnsi="宋体" w:eastAsia="仿宋_GB2312" w:cs="仿宋_GB2312"/>
          <w:color w:val="000000"/>
          <w:sz w:val="32"/>
          <w:szCs w:val="32"/>
          <w:lang w:val="en-US" w:eastAsia="zh-CN"/>
        </w:rPr>
        <w:t>和安全韧性提升</w:t>
      </w:r>
      <w:r>
        <w:rPr>
          <w:rFonts w:hint="eastAsia" w:ascii="仿宋_GB2312" w:hAnsi="宋体" w:eastAsia="仿宋_GB2312" w:cs="仿宋_GB2312"/>
          <w:color w:val="000000"/>
          <w:sz w:val="32"/>
          <w:szCs w:val="32"/>
        </w:rPr>
        <w:t>，完善市县辐射、市域衔接，优化局部路网布局，形成“五纵五横一绕十联”的高速公路网布局，总里程达到2200公里以上。基本实现赣州主城区有绕城、县县双高速，乡镇30分钟上高速。</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5000" w:type="pct"/>
            <w:noWrap w:val="0"/>
            <w:vAlign w:val="center"/>
          </w:tcPr>
          <w:p>
            <w:pPr>
              <w:overflowPunct w:val="0"/>
              <w:adjustRightInd w:val="0"/>
              <w:snapToGrid w:val="0"/>
              <w:spacing w:line="400" w:lineRule="exact"/>
              <w:jc w:val="center"/>
              <w:rPr>
                <w:rFonts w:ascii="宋体" w:hAnsi="宋体"/>
                <w:color w:val="000000"/>
                <w:sz w:val="24"/>
              </w:rPr>
            </w:pPr>
            <w:r>
              <w:rPr>
                <w:rFonts w:ascii="宋体" w:hAnsi="宋体" w:eastAsia="黑体"/>
                <w:color w:val="000000"/>
                <w:sz w:val="28"/>
                <w:szCs w:val="28"/>
              </w:rPr>
              <w:t>专栏</w:t>
            </w:r>
            <w:r>
              <w:rPr>
                <w:rFonts w:hint="eastAsia" w:ascii="宋体" w:hAnsi="宋体" w:eastAsia="黑体"/>
                <w:color w:val="000000"/>
                <w:sz w:val="28"/>
                <w:szCs w:val="28"/>
              </w:rPr>
              <w:t>六：</w:t>
            </w:r>
            <w:r>
              <w:rPr>
                <w:rFonts w:ascii="宋体" w:hAnsi="宋体" w:eastAsia="黑体"/>
                <w:color w:val="000000"/>
                <w:sz w:val="28"/>
                <w:szCs w:val="28"/>
              </w:rPr>
              <w:t xml:space="preserve">  </w:t>
            </w:r>
            <w:r>
              <w:rPr>
                <w:rFonts w:hint="eastAsia" w:ascii="宋体" w:hAnsi="宋体" w:eastAsia="黑体"/>
                <w:color w:val="000000"/>
                <w:sz w:val="28"/>
                <w:szCs w:val="28"/>
              </w:rPr>
              <w:t>“五纵五横一绕十联”高速公路布局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5000" w:type="pct"/>
            <w:noWrap w:val="0"/>
            <w:vAlign w:val="center"/>
          </w:tcPr>
          <w:p>
            <w:pPr>
              <w:overflowPunct w:val="0"/>
              <w:adjustRightInd w:val="0"/>
              <w:snapToGrid w:val="0"/>
              <w:spacing w:before="287" w:beforeLines="50" w:line="360" w:lineRule="auto"/>
              <w:ind w:firstLine="458" w:firstLineChars="200"/>
              <w:rPr>
                <w:rFonts w:hint="eastAsia" w:ascii="楷体_GB2312" w:hAnsi="宋体" w:eastAsia="楷体_GB2312"/>
                <w:b/>
                <w:bCs/>
                <w:color w:val="000000"/>
                <w:sz w:val="24"/>
              </w:rPr>
            </w:pPr>
            <w:r>
              <w:rPr>
                <w:rFonts w:hint="eastAsia" w:ascii="楷体_GB2312" w:hAnsi="宋体" w:eastAsia="楷体_GB2312"/>
                <w:b/>
                <w:bCs/>
                <w:color w:val="000000"/>
                <w:sz w:val="24"/>
              </w:rPr>
              <w:t>五纵</w:t>
            </w:r>
          </w:p>
          <w:p>
            <w:pPr>
              <w:pStyle w:val="2"/>
              <w:adjustRightInd w:val="0"/>
              <w:snapToGrid w:val="0"/>
              <w:spacing w:line="360" w:lineRule="auto"/>
              <w:ind w:firstLine="458" w:firstLineChars="200"/>
              <w:rPr>
                <w:sz w:val="24"/>
              </w:rPr>
            </w:pPr>
            <w:r>
              <w:rPr>
                <w:rFonts w:hint="eastAsia"/>
                <w:sz w:val="24"/>
              </w:rPr>
              <w:t>纵一。济广高速。</w:t>
            </w:r>
          </w:p>
          <w:p>
            <w:pPr>
              <w:pStyle w:val="2"/>
              <w:adjustRightInd w:val="0"/>
              <w:snapToGrid w:val="0"/>
              <w:spacing w:line="360" w:lineRule="auto"/>
              <w:ind w:firstLine="458" w:firstLineChars="200"/>
              <w:rPr>
                <w:sz w:val="24"/>
              </w:rPr>
            </w:pPr>
            <w:r>
              <w:rPr>
                <w:rFonts w:hint="eastAsia"/>
                <w:sz w:val="24"/>
              </w:rPr>
              <w:t>纵二。</w:t>
            </w:r>
            <w:r>
              <w:rPr>
                <w:rFonts w:hint="eastAsia"/>
                <w:sz w:val="24"/>
                <w:lang w:val="en-US" w:eastAsia="zh-CN"/>
              </w:rPr>
              <w:t>南丰-宁都-</w:t>
            </w:r>
            <w:r>
              <w:rPr>
                <w:rFonts w:hint="eastAsia"/>
                <w:sz w:val="24"/>
              </w:rPr>
              <w:t>宁定高速。</w:t>
            </w:r>
          </w:p>
          <w:p>
            <w:pPr>
              <w:pStyle w:val="2"/>
              <w:adjustRightInd w:val="0"/>
              <w:snapToGrid w:val="0"/>
              <w:spacing w:line="360" w:lineRule="auto"/>
              <w:ind w:firstLine="458" w:firstLineChars="200"/>
              <w:rPr>
                <w:sz w:val="24"/>
              </w:rPr>
            </w:pPr>
            <w:r>
              <w:rPr>
                <w:rFonts w:hint="eastAsia"/>
                <w:sz w:val="24"/>
              </w:rPr>
              <w:t>纵三。南韶高速。</w:t>
            </w:r>
          </w:p>
          <w:p>
            <w:pPr>
              <w:pStyle w:val="2"/>
              <w:adjustRightInd w:val="0"/>
              <w:snapToGrid w:val="0"/>
              <w:spacing w:line="360" w:lineRule="auto"/>
              <w:ind w:firstLine="458" w:firstLineChars="200"/>
              <w:rPr>
                <w:rFonts w:hint="eastAsia"/>
                <w:sz w:val="24"/>
              </w:rPr>
            </w:pPr>
            <w:r>
              <w:rPr>
                <w:rFonts w:hint="eastAsia"/>
                <w:sz w:val="24"/>
              </w:rPr>
              <w:t>纵四。大广高速及复线。</w:t>
            </w:r>
          </w:p>
          <w:p>
            <w:pPr>
              <w:keepNext w:val="0"/>
              <w:keepLines w:val="0"/>
              <w:pageBreakBefore w:val="0"/>
              <w:widowControl/>
              <w:kinsoku w:val="0"/>
              <w:wordWrap/>
              <w:overflowPunct w:val="0"/>
              <w:topLinePunct w:val="0"/>
              <w:autoSpaceDE w:val="0"/>
              <w:autoSpaceDN w:val="0"/>
              <w:bidi w:val="0"/>
              <w:adjustRightInd w:val="0"/>
              <w:snapToGrid w:val="0"/>
              <w:spacing w:line="360" w:lineRule="auto"/>
              <w:ind w:left="51" w:leftChars="26" w:firstLine="557" w:firstLineChars="243"/>
              <w:textAlignment w:val="baseline"/>
              <w:rPr>
                <w:rFonts w:ascii="宋体" w:hAnsi="宋体"/>
                <w:kern w:val="0"/>
                <w:sz w:val="24"/>
              </w:rPr>
            </w:pPr>
            <w:r>
              <w:rPr>
                <w:rFonts w:hint="eastAsia" w:ascii="宋体" w:hAnsi="宋体"/>
                <w:kern w:val="0"/>
                <w:sz w:val="24"/>
              </w:rPr>
              <w:t>纵五。</w:t>
            </w:r>
            <w:r>
              <w:rPr>
                <w:rFonts w:hint="eastAsia" w:ascii="宋体" w:hAnsi="宋体" w:eastAsia="宋体"/>
                <w:kern w:val="0"/>
                <w:sz w:val="24"/>
                <w:lang w:val="en-US" w:eastAsia="zh-CN"/>
              </w:rPr>
              <w:t>遂</w:t>
            </w:r>
            <w:r>
              <w:rPr>
                <w:rFonts w:hint="eastAsia" w:ascii="宋体" w:hAnsi="宋体"/>
                <w:kern w:val="0"/>
                <w:sz w:val="24"/>
              </w:rPr>
              <w:t>大高速及南延。</w:t>
            </w:r>
          </w:p>
          <w:p>
            <w:pPr>
              <w:overflowPunct w:val="0"/>
              <w:adjustRightInd w:val="0"/>
              <w:snapToGrid w:val="0"/>
              <w:spacing w:line="360" w:lineRule="auto"/>
              <w:ind w:firstLine="458" w:firstLineChars="200"/>
              <w:rPr>
                <w:rFonts w:hint="eastAsia" w:ascii="楷体_GB2312" w:hAnsi="宋体" w:eastAsia="楷体_GB2312"/>
                <w:b/>
                <w:bCs/>
                <w:color w:val="000000"/>
                <w:sz w:val="24"/>
              </w:rPr>
            </w:pPr>
            <w:r>
              <w:rPr>
                <w:rFonts w:hint="eastAsia" w:ascii="楷体_GB2312" w:hAnsi="宋体" w:eastAsia="楷体_GB2312"/>
                <w:b/>
                <w:bCs/>
                <w:color w:val="000000"/>
                <w:sz w:val="24"/>
              </w:rPr>
              <w:t>五横</w:t>
            </w:r>
          </w:p>
          <w:p>
            <w:pPr>
              <w:pStyle w:val="2"/>
              <w:adjustRightInd w:val="0"/>
              <w:snapToGrid w:val="0"/>
              <w:spacing w:line="360" w:lineRule="auto"/>
              <w:ind w:firstLine="458" w:firstLineChars="200"/>
              <w:rPr>
                <w:rFonts w:hint="eastAsia"/>
                <w:sz w:val="24"/>
              </w:rPr>
            </w:pPr>
            <w:r>
              <w:rPr>
                <w:rFonts w:hint="eastAsia"/>
                <w:sz w:val="24"/>
              </w:rPr>
              <w:t>横一。广吉高速。</w:t>
            </w:r>
          </w:p>
          <w:p>
            <w:pPr>
              <w:pStyle w:val="2"/>
              <w:adjustRightInd w:val="0"/>
              <w:snapToGrid w:val="0"/>
              <w:spacing w:line="360" w:lineRule="auto"/>
              <w:ind w:firstLine="458" w:firstLineChars="200"/>
              <w:rPr>
                <w:sz w:val="24"/>
              </w:rPr>
            </w:pPr>
            <w:r>
              <w:rPr>
                <w:rFonts w:hint="eastAsia"/>
                <w:sz w:val="24"/>
              </w:rPr>
              <w:t>横二。泉南高速石城</w:t>
            </w:r>
            <w:r>
              <w:rPr>
                <w:rFonts w:hint="eastAsia"/>
                <w:sz w:val="24"/>
                <w:lang w:val="en-US" w:eastAsia="zh-CN"/>
              </w:rPr>
              <w:t>-</w:t>
            </w:r>
            <w:r>
              <w:rPr>
                <w:rFonts w:hint="eastAsia"/>
                <w:sz w:val="24"/>
              </w:rPr>
              <w:t>兴国。</w:t>
            </w:r>
          </w:p>
          <w:p>
            <w:pPr>
              <w:pStyle w:val="2"/>
              <w:adjustRightInd w:val="0"/>
              <w:snapToGrid w:val="0"/>
              <w:spacing w:line="360" w:lineRule="auto"/>
              <w:ind w:firstLine="458" w:firstLineChars="200"/>
              <w:rPr>
                <w:sz w:val="24"/>
              </w:rPr>
            </w:pPr>
            <w:r>
              <w:rPr>
                <w:rFonts w:hint="eastAsia"/>
                <w:sz w:val="24"/>
              </w:rPr>
              <w:t>横三。厦蓉高速瑞金</w:t>
            </w:r>
            <w:r>
              <w:rPr>
                <w:rFonts w:hint="eastAsia"/>
                <w:sz w:val="24"/>
                <w:lang w:val="en-US" w:eastAsia="zh-CN"/>
              </w:rPr>
              <w:t>-</w:t>
            </w:r>
            <w:r>
              <w:rPr>
                <w:rFonts w:hint="eastAsia"/>
                <w:sz w:val="24"/>
              </w:rPr>
              <w:t>崇义。</w:t>
            </w:r>
          </w:p>
          <w:p>
            <w:pPr>
              <w:pStyle w:val="2"/>
              <w:adjustRightInd w:val="0"/>
              <w:snapToGrid w:val="0"/>
              <w:spacing w:line="360" w:lineRule="auto"/>
              <w:ind w:firstLine="458" w:firstLineChars="200"/>
              <w:rPr>
                <w:sz w:val="24"/>
              </w:rPr>
            </w:pPr>
            <w:r>
              <w:rPr>
                <w:rFonts w:hint="eastAsia"/>
                <w:sz w:val="24"/>
              </w:rPr>
              <w:t>横四。信雄高速及东延。</w:t>
            </w:r>
          </w:p>
          <w:p>
            <w:pPr>
              <w:pStyle w:val="2"/>
              <w:adjustRightInd w:val="0"/>
              <w:snapToGrid w:val="0"/>
              <w:spacing w:line="360" w:lineRule="auto"/>
              <w:ind w:firstLine="458" w:firstLineChars="200"/>
              <w:rPr>
                <w:sz w:val="24"/>
              </w:rPr>
            </w:pPr>
            <w:r>
              <w:rPr>
                <w:rFonts w:hint="eastAsia"/>
                <w:sz w:val="24"/>
              </w:rPr>
              <w:t>横五。寻全高速及西延。</w:t>
            </w:r>
          </w:p>
          <w:p>
            <w:pPr>
              <w:overflowPunct w:val="0"/>
              <w:adjustRightInd w:val="0"/>
              <w:snapToGrid w:val="0"/>
              <w:spacing w:line="360" w:lineRule="auto"/>
              <w:ind w:firstLine="458" w:firstLineChars="200"/>
              <w:rPr>
                <w:rFonts w:hint="eastAsia" w:ascii="楷体_GB2312" w:hAnsi="宋体" w:eastAsia="楷体_GB2312"/>
                <w:b/>
                <w:bCs/>
                <w:color w:val="000000"/>
                <w:sz w:val="24"/>
              </w:rPr>
            </w:pPr>
            <w:r>
              <w:rPr>
                <w:rFonts w:hint="eastAsia" w:ascii="楷体_GB2312" w:hAnsi="宋体" w:eastAsia="楷体_GB2312"/>
                <w:b/>
                <w:bCs/>
                <w:color w:val="000000"/>
                <w:sz w:val="24"/>
              </w:rPr>
              <w:t>一绕</w:t>
            </w:r>
          </w:p>
          <w:p>
            <w:pPr>
              <w:overflowPunct w:val="0"/>
              <w:adjustRightInd w:val="0"/>
              <w:snapToGrid w:val="0"/>
              <w:spacing w:line="360" w:lineRule="auto"/>
              <w:ind w:firstLine="458" w:firstLineChars="200"/>
              <w:rPr>
                <w:rFonts w:hint="eastAsia" w:ascii="宋体" w:hAnsi="宋体"/>
                <w:color w:val="000000"/>
                <w:sz w:val="24"/>
              </w:rPr>
            </w:pPr>
            <w:r>
              <w:rPr>
                <w:rFonts w:hint="eastAsia" w:ascii="宋体" w:hAnsi="宋体" w:eastAsia="宋体"/>
                <w:color w:val="000000"/>
                <w:sz w:val="24"/>
                <w:lang w:val="en-US" w:eastAsia="zh-CN"/>
              </w:rPr>
              <w:t>南韶高速赣州城区段东移-厦蓉高速赣州城区段北移-南龙高速十八塘枢纽至浮石枢纽-南韶高速三益枢纽-浮石枢纽</w:t>
            </w:r>
            <w:r>
              <w:rPr>
                <w:rFonts w:hint="eastAsia" w:ascii="宋体" w:hAnsi="宋体"/>
                <w:color w:val="000000"/>
                <w:sz w:val="24"/>
              </w:rPr>
              <w:t>。</w:t>
            </w:r>
          </w:p>
          <w:p>
            <w:pPr>
              <w:overflowPunct w:val="0"/>
              <w:adjustRightInd w:val="0"/>
              <w:snapToGrid w:val="0"/>
              <w:spacing w:line="360" w:lineRule="auto"/>
              <w:ind w:firstLine="458" w:firstLineChars="200"/>
              <w:rPr>
                <w:rFonts w:hint="eastAsia" w:ascii="楷体_GB2312" w:hAnsi="宋体" w:eastAsia="楷体_GB2312"/>
                <w:b/>
                <w:bCs/>
                <w:color w:val="000000"/>
                <w:sz w:val="24"/>
              </w:rPr>
            </w:pPr>
            <w:r>
              <w:rPr>
                <w:rFonts w:hint="eastAsia" w:ascii="楷体_GB2312" w:hAnsi="宋体" w:eastAsia="楷体_GB2312"/>
                <w:b/>
                <w:bCs/>
                <w:color w:val="000000"/>
                <w:sz w:val="24"/>
              </w:rPr>
              <w:t>十联</w:t>
            </w:r>
          </w:p>
          <w:p>
            <w:pPr>
              <w:overflowPunct w:val="0"/>
              <w:adjustRightInd w:val="0"/>
              <w:snapToGrid w:val="0"/>
              <w:spacing w:line="360" w:lineRule="auto"/>
              <w:ind w:firstLine="458" w:firstLineChars="200"/>
              <w:rPr>
                <w:rFonts w:hint="eastAsia" w:ascii="宋体" w:hAnsi="宋体"/>
                <w:color w:val="000000"/>
                <w:sz w:val="24"/>
              </w:rPr>
            </w:pPr>
            <w:r>
              <w:rPr>
                <w:rFonts w:hint="eastAsia" w:ascii="宋体" w:hAnsi="宋体"/>
                <w:color w:val="000000"/>
                <w:sz w:val="24"/>
              </w:rPr>
              <w:t>寻乌</w:t>
            </w:r>
            <w:r>
              <w:rPr>
                <w:rFonts w:hint="eastAsia" w:ascii="宋体" w:hAnsi="宋体" w:eastAsia="宋体"/>
                <w:color w:val="000000"/>
                <w:sz w:val="24"/>
                <w:lang w:val="en-US" w:eastAsia="zh-CN"/>
              </w:rPr>
              <w:t>-</w:t>
            </w:r>
            <w:r>
              <w:rPr>
                <w:rFonts w:hint="eastAsia" w:ascii="宋体" w:hAnsi="宋体"/>
                <w:color w:val="000000"/>
                <w:sz w:val="24"/>
              </w:rPr>
              <w:t>龙川高速、定南联络线、兴国</w:t>
            </w:r>
            <w:r>
              <w:rPr>
                <w:rFonts w:hint="eastAsia" w:ascii="宋体" w:hAnsi="宋体" w:eastAsia="宋体"/>
                <w:color w:val="000000"/>
                <w:sz w:val="24"/>
                <w:lang w:val="en-US" w:eastAsia="zh-CN"/>
              </w:rPr>
              <w:t>-</w:t>
            </w:r>
            <w:r>
              <w:rPr>
                <w:rFonts w:hint="eastAsia" w:ascii="宋体" w:hAnsi="宋体"/>
                <w:color w:val="000000"/>
                <w:sz w:val="24"/>
              </w:rPr>
              <w:t>桂东高速及东延、</w:t>
            </w:r>
            <w:r>
              <w:rPr>
                <w:rFonts w:hint="eastAsia" w:ascii="宋体" w:hAnsi="宋体" w:eastAsia="宋体"/>
                <w:color w:val="000000"/>
                <w:sz w:val="24"/>
                <w:lang w:val="en-US" w:eastAsia="zh-CN"/>
              </w:rPr>
              <w:t>新干-</w:t>
            </w:r>
            <w:r>
              <w:rPr>
                <w:rFonts w:hint="eastAsia" w:ascii="宋体" w:hAnsi="宋体"/>
                <w:color w:val="000000"/>
                <w:sz w:val="24"/>
              </w:rPr>
              <w:t>兴国高速、寻乌</w:t>
            </w:r>
            <w:r>
              <w:rPr>
                <w:rFonts w:hint="eastAsia" w:ascii="宋体" w:hAnsi="宋体" w:eastAsia="宋体"/>
                <w:color w:val="000000"/>
                <w:sz w:val="24"/>
                <w:lang w:val="en-US" w:eastAsia="zh-CN"/>
              </w:rPr>
              <w:t>-</w:t>
            </w:r>
            <w:r>
              <w:rPr>
                <w:rFonts w:hint="eastAsia" w:ascii="宋体" w:hAnsi="宋体"/>
                <w:color w:val="000000"/>
                <w:sz w:val="24"/>
              </w:rPr>
              <w:t>赣州高速、龙河联络线、会昌联络线、</w:t>
            </w:r>
            <w:r>
              <w:rPr>
                <w:rFonts w:hint="eastAsia" w:ascii="宋体" w:hAnsi="宋体" w:eastAsia="宋体"/>
                <w:color w:val="000000"/>
                <w:sz w:val="24"/>
                <w:lang w:val="en-US" w:eastAsia="zh-CN"/>
              </w:rPr>
              <w:t>赣州-汕尾</w:t>
            </w:r>
            <w:r>
              <w:rPr>
                <w:rFonts w:hint="eastAsia" w:ascii="宋体" w:hAnsi="宋体"/>
                <w:color w:val="000000"/>
                <w:sz w:val="24"/>
              </w:rPr>
              <w:t>高速、兴国</w:t>
            </w:r>
            <w:r>
              <w:rPr>
                <w:rFonts w:hint="eastAsia" w:ascii="宋体" w:hAnsi="宋体" w:eastAsia="宋体"/>
                <w:color w:val="000000"/>
                <w:sz w:val="24"/>
                <w:lang w:val="en-US" w:eastAsia="zh-CN"/>
              </w:rPr>
              <w:t>-</w:t>
            </w:r>
            <w:r>
              <w:rPr>
                <w:rFonts w:hint="eastAsia" w:ascii="宋体" w:hAnsi="宋体"/>
                <w:color w:val="000000"/>
                <w:sz w:val="24"/>
              </w:rPr>
              <w:t>瑞金高速、于都罗坳</w:t>
            </w:r>
            <w:r>
              <w:rPr>
                <w:rFonts w:hint="eastAsia" w:ascii="宋体" w:hAnsi="宋体" w:eastAsia="宋体"/>
                <w:color w:val="000000"/>
                <w:sz w:val="24"/>
                <w:lang w:val="en-US" w:eastAsia="zh-CN"/>
              </w:rPr>
              <w:t>-</w:t>
            </w:r>
            <w:r>
              <w:rPr>
                <w:rFonts w:hint="eastAsia" w:ascii="宋体" w:hAnsi="宋体"/>
                <w:color w:val="000000"/>
                <w:sz w:val="24"/>
              </w:rPr>
              <w:t>仙下高速。</w:t>
            </w:r>
          </w:p>
        </w:tc>
      </w:tr>
    </w:tbl>
    <w:p>
      <w:pPr>
        <w:keepNext w:val="0"/>
        <w:keepLines w:val="0"/>
        <w:pageBreakBefore w:val="0"/>
        <w:widowControl/>
        <w:kinsoku w:val="0"/>
        <w:wordWrap/>
        <w:overflowPunct/>
        <w:topLinePunct w:val="0"/>
        <w:autoSpaceDE w:val="0"/>
        <w:autoSpaceDN w:val="0"/>
        <w:bidi w:val="0"/>
        <w:adjustRightInd w:val="0"/>
        <w:snapToGrid w:val="0"/>
        <w:spacing w:line="560" w:lineRule="exact"/>
        <w:ind w:firstLine="618" w:firstLineChars="200"/>
        <w:jc w:val="both"/>
        <w:textAlignment w:val="baseline"/>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优化国省干线网。以既有路线升级改造为主，着力扩大覆盖范围，合理确定建设标准，提升技术等级和服务能力，建成网络完善、能力充分的“五纵五横”普通国省干线公路体系，基本覆盖省级及以上开发区、重要乡镇和4A级及以上旅游景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18" w:firstLineChars="200"/>
        <w:jc w:val="both"/>
        <w:textAlignment w:val="baseline"/>
        <w:rPr>
          <w:rFonts w:hint="eastAsia" w:ascii="宋体" w:hAnsi="宋体" w:eastAsia="仿宋_GB2312" w:cs="仿宋_GB2312"/>
          <w:color w:val="000000"/>
          <w:sz w:val="32"/>
          <w:szCs w:val="32"/>
        </w:rPr>
      </w:pPr>
      <w:r>
        <w:rPr>
          <w:rFonts w:hint="eastAsia" w:ascii="仿宋_GB2312" w:hAnsi="宋体" w:eastAsia="仿宋_GB2312" w:cs="仿宋_GB2312"/>
          <w:color w:val="000000"/>
          <w:sz w:val="32"/>
          <w:szCs w:val="32"/>
        </w:rPr>
        <w:t>提升农村公路网。按照乡村振兴和“四好农村路”建设要求，加快农村公路提质升级和旅游路、资源路、产业路建设，基本实现县道三级及以上、建制村通双车道公路全覆盖，总里程稳定在4万公里。大力推进农村公路安防工程建设和危桥改造动态清零，打造美丽生态文明农村路，提升农村公路建设质量和服务品质。</w:t>
      </w:r>
    </w:p>
    <w:bookmarkEnd w:id="24"/>
    <w:p>
      <w:pPr>
        <w:pStyle w:val="6"/>
        <w:keepNext w:val="0"/>
        <w:keepLines w:val="0"/>
        <w:spacing w:before="0" w:after="0" w:line="520" w:lineRule="exact"/>
        <w:ind w:firstLine="618" w:firstLineChars="200"/>
        <w:rPr>
          <w:rFonts w:ascii="楷体_GB2312" w:hAnsi="楷体_GB2312" w:eastAsia="楷体_GB2312" w:cs="楷体_GB2312"/>
          <w:b w:val="0"/>
          <w:color w:val="000000"/>
          <w:szCs w:val="32"/>
        </w:rPr>
      </w:pPr>
      <w:bookmarkStart w:id="25" w:name="_Toc91265248"/>
      <w:bookmarkStart w:id="26" w:name="_Toc151387973"/>
      <w:r>
        <w:rPr>
          <w:rFonts w:hint="eastAsia" w:ascii="楷体_GB2312" w:hAnsi="楷体_GB2312" w:eastAsia="楷体_GB2312" w:cs="楷体_GB2312"/>
          <w:b w:val="0"/>
          <w:color w:val="000000"/>
          <w:szCs w:val="32"/>
        </w:rPr>
        <w:t>（三）</w:t>
      </w:r>
      <w:bookmarkEnd w:id="25"/>
      <w:r>
        <w:rPr>
          <w:rFonts w:hint="eastAsia" w:ascii="楷体_GB2312" w:hAnsi="楷体_GB2312" w:eastAsia="楷体_GB2312" w:cs="楷体_GB2312"/>
          <w:b w:val="0"/>
          <w:color w:val="000000"/>
          <w:szCs w:val="32"/>
        </w:rPr>
        <w:t>建设通江达海的内河水运网</w:t>
      </w:r>
      <w:bookmarkEnd w:id="26"/>
    </w:p>
    <w:p>
      <w:pPr>
        <w:spacing w:line="520" w:lineRule="exact"/>
        <w:ind w:firstLine="618" w:firstLineChars="200"/>
        <w:jc w:val="both"/>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布局跨区域水运大通道。协助做好赣粤运河前期工作，力争“十五五”期间开工建设，形成沟通长江水系与珠江水系的水运大通道，开辟赣州南向水路出海新通道。</w:t>
      </w:r>
    </w:p>
    <w:p>
      <w:pPr>
        <w:spacing w:line="520" w:lineRule="exact"/>
        <w:ind w:firstLine="618" w:firstLineChars="200"/>
        <w:jc w:val="both"/>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扩大高等级航道覆盖。加快赣江高等级航道建设，进一步向支流拓展延伸，推进便民码头建设，形成内河水运新格局。高等级航道总里程达到</w:t>
      </w:r>
      <w:r>
        <w:rPr>
          <w:rFonts w:hint="eastAsia" w:ascii="仿宋_GB2312" w:hAnsi="宋体" w:eastAsia="仿宋_GB2312" w:cs="仿宋_GB2312"/>
          <w:color w:val="000000"/>
          <w:sz w:val="32"/>
          <w:szCs w:val="32"/>
          <w:lang w:val="en-US" w:eastAsia="zh-CN"/>
        </w:rPr>
        <w:t>108.8</w:t>
      </w:r>
      <w:r>
        <w:rPr>
          <w:rFonts w:hint="eastAsia" w:ascii="仿宋_GB2312" w:hAnsi="宋体" w:eastAsia="仿宋_GB2312" w:cs="仿宋_GB2312"/>
          <w:color w:val="000000"/>
          <w:sz w:val="32"/>
          <w:szCs w:val="32"/>
        </w:rPr>
        <w:t>公里，其中赣江（</w:t>
      </w:r>
      <w:r>
        <w:rPr>
          <w:rFonts w:hint="eastAsia" w:ascii="仿宋_GB2312" w:hAnsi="宋体" w:eastAsia="仿宋_GB2312" w:cs="仿宋_GB2312"/>
          <w:color w:val="000000"/>
          <w:sz w:val="32"/>
          <w:szCs w:val="32"/>
          <w:lang w:val="en-US" w:eastAsia="zh-CN"/>
        </w:rPr>
        <w:t>赣州</w:t>
      </w:r>
      <w:r>
        <w:rPr>
          <w:rFonts w:hint="eastAsia" w:ascii="仿宋_GB2312" w:hAnsi="宋体" w:eastAsia="仿宋_GB2312" w:cs="仿宋_GB2312"/>
          <w:color w:val="000000"/>
          <w:sz w:val="32"/>
          <w:szCs w:val="32"/>
        </w:rPr>
        <w:t>水尺至</w:t>
      </w:r>
      <w:r>
        <w:rPr>
          <w:rFonts w:hint="eastAsia" w:ascii="仿宋_GB2312" w:hAnsi="宋体" w:eastAsia="仿宋_GB2312" w:cs="仿宋_GB2312"/>
          <w:color w:val="000000"/>
          <w:sz w:val="32"/>
          <w:szCs w:val="32"/>
          <w:lang w:val="en-US" w:eastAsia="zh-CN"/>
        </w:rPr>
        <w:t>小良口</w:t>
      </w:r>
      <w:r>
        <w:rPr>
          <w:rFonts w:hint="eastAsia" w:ascii="仿宋_GB2312" w:hAnsi="宋体" w:eastAsia="仿宋_GB2312" w:cs="仿宋_GB2312"/>
          <w:color w:val="000000"/>
          <w:sz w:val="32"/>
          <w:szCs w:val="32"/>
        </w:rPr>
        <w:t>）为国家高等级航道，规划里程</w:t>
      </w:r>
      <w:r>
        <w:rPr>
          <w:rFonts w:hint="eastAsia" w:ascii="仿宋_GB2312" w:hAnsi="宋体" w:eastAsia="仿宋_GB2312" w:cs="仿宋_GB2312"/>
          <w:color w:val="000000"/>
          <w:sz w:val="32"/>
          <w:szCs w:val="32"/>
          <w:lang w:val="en-US" w:eastAsia="zh-CN"/>
        </w:rPr>
        <w:t>58.8</w:t>
      </w:r>
      <w:r>
        <w:rPr>
          <w:rFonts w:hint="eastAsia" w:ascii="仿宋_GB2312" w:hAnsi="宋体" w:eastAsia="仿宋_GB2312" w:cs="仿宋_GB2312"/>
          <w:color w:val="000000"/>
          <w:sz w:val="32"/>
          <w:szCs w:val="32"/>
        </w:rPr>
        <w:t>公里，规划等级为二级航道；贡江（渡江大桥至桃江口）规划里程约50公里，规划等级为三级航道。</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5000" w:type="pct"/>
            <w:noWrap w:val="0"/>
            <w:vAlign w:val="center"/>
          </w:tcPr>
          <w:p>
            <w:pPr>
              <w:overflowPunct w:val="0"/>
              <w:adjustRightInd w:val="0"/>
              <w:snapToGrid w:val="0"/>
              <w:spacing w:line="400" w:lineRule="exact"/>
              <w:jc w:val="center"/>
              <w:rPr>
                <w:rFonts w:ascii="宋体" w:hAnsi="宋体"/>
                <w:color w:val="000000"/>
                <w:sz w:val="24"/>
              </w:rPr>
            </w:pPr>
            <w:r>
              <w:rPr>
                <w:rFonts w:ascii="宋体" w:hAnsi="宋体" w:eastAsia="黑体"/>
                <w:color w:val="000000"/>
                <w:sz w:val="28"/>
                <w:szCs w:val="28"/>
              </w:rPr>
              <w:t>专栏</w:t>
            </w:r>
            <w:r>
              <w:rPr>
                <w:rFonts w:hint="eastAsia" w:ascii="宋体" w:hAnsi="宋体" w:eastAsia="黑体"/>
                <w:color w:val="000000"/>
                <w:sz w:val="28"/>
                <w:szCs w:val="28"/>
              </w:rPr>
              <w:t>七：</w:t>
            </w:r>
            <w:r>
              <w:rPr>
                <w:rFonts w:ascii="宋体" w:hAnsi="宋体" w:eastAsia="黑体"/>
                <w:color w:val="000000"/>
                <w:sz w:val="28"/>
                <w:szCs w:val="28"/>
              </w:rPr>
              <w:t xml:space="preserve">  </w:t>
            </w:r>
            <w:r>
              <w:rPr>
                <w:rFonts w:hint="eastAsia" w:ascii="宋体" w:hAnsi="宋体" w:eastAsia="黑体"/>
                <w:color w:val="000000"/>
                <w:sz w:val="28"/>
                <w:szCs w:val="28"/>
              </w:rPr>
              <w:t>内河高等级航道规划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5000" w:type="pct"/>
            <w:noWrap w:val="0"/>
            <w:vAlign w:val="center"/>
          </w:tcPr>
          <w:p>
            <w:pPr>
              <w:overflowPunct w:val="0"/>
              <w:adjustRightInd w:val="0"/>
              <w:snapToGrid w:val="0"/>
              <w:spacing w:line="360" w:lineRule="auto"/>
              <w:ind w:firstLine="458" w:firstLineChars="200"/>
              <w:jc w:val="both"/>
              <w:rPr>
                <w:rFonts w:ascii="宋体" w:hAnsi="宋体"/>
                <w:color w:val="000000"/>
                <w:sz w:val="24"/>
              </w:rPr>
            </w:pPr>
            <w:r>
              <w:rPr>
                <w:rFonts w:hint="eastAsia" w:ascii="宋体" w:hAnsi="宋体"/>
                <w:color w:val="000000"/>
                <w:sz w:val="24"/>
              </w:rPr>
              <w:t>赣江（赣</w:t>
            </w:r>
            <w:r>
              <w:rPr>
                <w:rFonts w:ascii="宋体" w:hAnsi="宋体"/>
                <w:color w:val="000000"/>
                <w:sz w:val="24"/>
              </w:rPr>
              <w:t>江水尺</w:t>
            </w:r>
            <w:r>
              <w:rPr>
                <w:rFonts w:hint="eastAsia" w:ascii="宋体" w:hAnsi="宋体" w:eastAsia="宋体"/>
                <w:color w:val="000000"/>
                <w:sz w:val="24"/>
                <w:lang w:val="en-US" w:eastAsia="zh-CN"/>
              </w:rPr>
              <w:t>-小良口</w:t>
            </w:r>
            <w:r>
              <w:rPr>
                <w:rFonts w:hint="eastAsia" w:ascii="宋体" w:hAnsi="宋体"/>
                <w:color w:val="000000"/>
                <w:sz w:val="24"/>
              </w:rPr>
              <w:t>）规划里程</w:t>
            </w:r>
            <w:r>
              <w:rPr>
                <w:rFonts w:hint="eastAsia" w:ascii="宋体" w:hAnsi="宋体" w:eastAsia="宋体"/>
                <w:color w:val="000000"/>
                <w:sz w:val="24"/>
                <w:lang w:val="en-US" w:eastAsia="zh-CN"/>
              </w:rPr>
              <w:t>58.5公里</w:t>
            </w:r>
            <w:r>
              <w:rPr>
                <w:rFonts w:hint="eastAsia" w:ascii="宋体" w:hAnsi="宋体"/>
                <w:color w:val="000000"/>
                <w:sz w:val="24"/>
              </w:rPr>
              <w:t>，2035年规划达到二级航道标准，为国家高等级航道。</w:t>
            </w:r>
          </w:p>
          <w:p>
            <w:pPr>
              <w:overflowPunct w:val="0"/>
              <w:adjustRightInd w:val="0"/>
              <w:snapToGrid w:val="0"/>
              <w:spacing w:line="360" w:lineRule="auto"/>
              <w:ind w:firstLine="458" w:firstLineChars="200"/>
              <w:jc w:val="both"/>
              <w:rPr>
                <w:rFonts w:hint="eastAsia" w:ascii="宋体" w:hAnsi="宋体"/>
                <w:color w:val="000000"/>
                <w:sz w:val="24"/>
              </w:rPr>
            </w:pPr>
            <w:r>
              <w:rPr>
                <w:rFonts w:hint="eastAsia" w:ascii="宋体" w:hAnsi="宋体"/>
                <w:color w:val="000000"/>
                <w:sz w:val="24"/>
              </w:rPr>
              <w:t>贡江(渡江大桥</w:t>
            </w:r>
            <w:r>
              <w:rPr>
                <w:rFonts w:hint="eastAsia" w:ascii="宋体" w:hAnsi="宋体" w:eastAsia="宋体"/>
                <w:color w:val="000000"/>
                <w:sz w:val="24"/>
                <w:lang w:val="en-US" w:eastAsia="zh-CN"/>
              </w:rPr>
              <w:t>-</w:t>
            </w:r>
            <w:r>
              <w:rPr>
                <w:rFonts w:hint="eastAsia" w:ascii="宋体" w:hAnsi="宋体"/>
                <w:color w:val="000000"/>
                <w:sz w:val="24"/>
              </w:rPr>
              <w:t>桃江口）航段规划里程50</w:t>
            </w:r>
            <w:r>
              <w:rPr>
                <w:rFonts w:hint="eastAsia" w:ascii="宋体" w:hAnsi="宋体" w:eastAsia="宋体"/>
                <w:color w:val="000000"/>
                <w:sz w:val="24"/>
                <w:lang w:val="en-US" w:eastAsia="zh-CN"/>
              </w:rPr>
              <w:t>公里</w:t>
            </w:r>
            <w:r>
              <w:rPr>
                <w:rFonts w:hint="eastAsia" w:ascii="宋体" w:hAnsi="宋体"/>
                <w:color w:val="000000"/>
                <w:sz w:val="24"/>
              </w:rPr>
              <w:t>，现状为VII级航道，2035年规划达到三级航道标准。</w:t>
            </w:r>
          </w:p>
          <w:p>
            <w:pPr>
              <w:overflowPunct w:val="0"/>
              <w:adjustRightInd w:val="0"/>
              <w:snapToGrid w:val="0"/>
              <w:spacing w:line="360" w:lineRule="auto"/>
              <w:ind w:firstLine="458" w:firstLineChars="200"/>
              <w:jc w:val="both"/>
              <w:rPr>
                <w:rFonts w:hint="eastAsia" w:ascii="宋体" w:hAnsi="宋体"/>
                <w:color w:val="000000"/>
                <w:sz w:val="24"/>
              </w:rPr>
            </w:pPr>
            <w:r>
              <w:rPr>
                <w:rFonts w:hint="eastAsia" w:ascii="宋体" w:hAnsi="宋体"/>
                <w:color w:val="000000"/>
                <w:sz w:val="24"/>
              </w:rPr>
              <w:t>贡江(会昌</w:t>
            </w:r>
            <w:r>
              <w:rPr>
                <w:rFonts w:hint="eastAsia" w:ascii="宋体" w:hAnsi="宋体" w:eastAsia="宋体"/>
                <w:color w:val="000000"/>
                <w:sz w:val="24"/>
                <w:lang w:val="en-US" w:eastAsia="zh-CN"/>
              </w:rPr>
              <w:t>-</w:t>
            </w:r>
            <w:r>
              <w:rPr>
                <w:rFonts w:hint="eastAsia" w:ascii="宋体" w:hAnsi="宋体"/>
                <w:color w:val="000000"/>
                <w:sz w:val="24"/>
              </w:rPr>
              <w:t>于都）航段规划里程88</w:t>
            </w:r>
            <w:r>
              <w:rPr>
                <w:rFonts w:hint="eastAsia" w:ascii="宋体" w:hAnsi="宋体" w:eastAsia="宋体"/>
                <w:color w:val="000000"/>
                <w:sz w:val="24"/>
                <w:lang w:val="en-US" w:eastAsia="zh-CN"/>
              </w:rPr>
              <w:t>公里</w:t>
            </w:r>
            <w:r>
              <w:rPr>
                <w:rFonts w:hint="eastAsia" w:ascii="宋体" w:hAnsi="宋体"/>
                <w:color w:val="000000"/>
                <w:sz w:val="24"/>
              </w:rPr>
              <w:t>，发展规划技术等级为六级航道标准，为地区重要航道。</w:t>
            </w:r>
          </w:p>
          <w:p>
            <w:pPr>
              <w:overflowPunct w:val="0"/>
              <w:adjustRightInd w:val="0"/>
              <w:snapToGrid w:val="0"/>
              <w:spacing w:line="360" w:lineRule="auto"/>
              <w:ind w:firstLine="458" w:firstLineChars="200"/>
              <w:jc w:val="both"/>
              <w:rPr>
                <w:rFonts w:hint="eastAsia" w:ascii="宋体" w:hAnsi="宋体"/>
                <w:color w:val="000000"/>
                <w:sz w:val="24"/>
              </w:rPr>
            </w:pPr>
            <w:r>
              <w:rPr>
                <w:rFonts w:hint="eastAsia" w:ascii="宋体" w:hAnsi="宋体"/>
                <w:color w:val="000000"/>
                <w:sz w:val="24"/>
              </w:rPr>
              <w:t>上犹江（陡水库区）航段规划里程108.85</w:t>
            </w:r>
            <w:r>
              <w:rPr>
                <w:rFonts w:hint="eastAsia" w:ascii="宋体" w:hAnsi="宋体" w:eastAsia="宋体"/>
                <w:color w:val="000000"/>
                <w:sz w:val="24"/>
                <w:lang w:val="en-US" w:eastAsia="zh-CN"/>
              </w:rPr>
              <w:t>公里</w:t>
            </w:r>
            <w:r>
              <w:rPr>
                <w:rFonts w:hint="eastAsia" w:ascii="宋体" w:hAnsi="宋体"/>
                <w:color w:val="000000"/>
                <w:sz w:val="24"/>
              </w:rPr>
              <w:t>，发展规划技术等级为七级航道标准，为地区一般航道。</w:t>
            </w:r>
          </w:p>
          <w:p>
            <w:pPr>
              <w:overflowPunct w:val="0"/>
              <w:adjustRightInd w:val="0"/>
              <w:snapToGrid w:val="0"/>
              <w:spacing w:line="360" w:lineRule="auto"/>
              <w:ind w:firstLine="458" w:firstLineChars="200"/>
              <w:jc w:val="both"/>
              <w:rPr>
                <w:rFonts w:hint="eastAsia" w:ascii="宋体" w:hAnsi="宋体"/>
                <w:color w:val="000000"/>
                <w:sz w:val="24"/>
              </w:rPr>
            </w:pPr>
            <w:r>
              <w:rPr>
                <w:rFonts w:hint="eastAsia" w:ascii="宋体" w:hAnsi="宋体"/>
                <w:color w:val="000000"/>
                <w:sz w:val="24"/>
              </w:rPr>
              <w:t>上犹江（陡水</w:t>
            </w:r>
            <w:r>
              <w:rPr>
                <w:rFonts w:hint="eastAsia" w:ascii="宋体" w:hAnsi="宋体" w:eastAsia="宋体"/>
                <w:color w:val="000000"/>
                <w:sz w:val="24"/>
                <w:lang w:val="en-US" w:eastAsia="zh-CN"/>
              </w:rPr>
              <w:t>-</w:t>
            </w:r>
            <w:r>
              <w:rPr>
                <w:rFonts w:hint="eastAsia" w:ascii="宋体" w:hAnsi="宋体"/>
                <w:color w:val="000000"/>
                <w:sz w:val="24"/>
              </w:rPr>
              <w:t>三江口）航段规划里程74</w:t>
            </w:r>
            <w:r>
              <w:rPr>
                <w:rFonts w:hint="eastAsia" w:ascii="宋体" w:hAnsi="宋体" w:eastAsia="宋体"/>
                <w:color w:val="000000"/>
                <w:sz w:val="24"/>
                <w:lang w:val="en-US" w:eastAsia="zh-CN"/>
              </w:rPr>
              <w:t>公里</w:t>
            </w:r>
            <w:r>
              <w:rPr>
                <w:rFonts w:hint="eastAsia" w:ascii="宋体" w:hAnsi="宋体"/>
                <w:color w:val="000000"/>
                <w:sz w:val="24"/>
              </w:rPr>
              <w:t>，发展规划技术等级为等外航道标准，为地区一般航道。</w:t>
            </w:r>
          </w:p>
          <w:p>
            <w:pPr>
              <w:overflowPunct w:val="0"/>
              <w:adjustRightInd w:val="0"/>
              <w:snapToGrid w:val="0"/>
              <w:spacing w:line="360" w:lineRule="auto"/>
              <w:ind w:firstLine="458" w:firstLineChars="200"/>
              <w:jc w:val="both"/>
              <w:rPr>
                <w:rFonts w:hint="eastAsia" w:ascii="宋体" w:hAnsi="宋体"/>
                <w:color w:val="000000"/>
                <w:sz w:val="24"/>
              </w:rPr>
            </w:pPr>
            <w:r>
              <w:rPr>
                <w:rFonts w:hint="eastAsia" w:ascii="宋体" w:hAnsi="宋体"/>
                <w:color w:val="000000"/>
                <w:sz w:val="24"/>
              </w:rPr>
              <w:t>章江(南康大桥</w:t>
            </w:r>
            <w:r>
              <w:rPr>
                <w:rFonts w:hint="eastAsia" w:ascii="宋体" w:hAnsi="宋体" w:eastAsia="宋体"/>
                <w:color w:val="000000"/>
                <w:sz w:val="24"/>
                <w:lang w:val="en-US" w:eastAsia="zh-CN"/>
              </w:rPr>
              <w:t>-</w:t>
            </w:r>
            <w:r>
              <w:rPr>
                <w:rFonts w:hint="eastAsia" w:ascii="宋体" w:hAnsi="宋体"/>
                <w:color w:val="000000"/>
                <w:sz w:val="24"/>
              </w:rPr>
              <w:t>龟角尾）航段规划里程为65</w:t>
            </w:r>
            <w:r>
              <w:rPr>
                <w:rFonts w:hint="eastAsia" w:ascii="宋体" w:hAnsi="宋体" w:eastAsia="宋体"/>
                <w:color w:val="000000"/>
                <w:sz w:val="24"/>
                <w:lang w:val="en-US" w:eastAsia="zh-CN"/>
              </w:rPr>
              <w:t>公里</w:t>
            </w:r>
            <w:r>
              <w:rPr>
                <w:rFonts w:hint="eastAsia" w:ascii="宋体" w:hAnsi="宋体"/>
                <w:color w:val="000000"/>
                <w:sz w:val="24"/>
              </w:rPr>
              <w:t>，现状为等外航道，航道通航条件差，发展规划技术等级为七级航道标准，为地区一般航道。</w:t>
            </w:r>
          </w:p>
          <w:p>
            <w:pPr>
              <w:overflowPunct w:val="0"/>
              <w:adjustRightInd w:val="0"/>
              <w:snapToGrid w:val="0"/>
              <w:spacing w:line="360" w:lineRule="auto"/>
              <w:ind w:firstLine="458" w:firstLineChars="200"/>
              <w:jc w:val="both"/>
              <w:rPr>
                <w:rFonts w:hint="eastAsia" w:ascii="宋体" w:hAnsi="宋体"/>
                <w:color w:val="000000"/>
                <w:sz w:val="24"/>
              </w:rPr>
            </w:pPr>
            <w:r>
              <w:rPr>
                <w:rFonts w:hint="eastAsia" w:ascii="宋体" w:hAnsi="宋体"/>
                <w:color w:val="000000"/>
                <w:sz w:val="24"/>
              </w:rPr>
              <w:t>桃江(龙南</w:t>
            </w:r>
            <w:r>
              <w:rPr>
                <w:rFonts w:hint="eastAsia" w:ascii="宋体" w:hAnsi="宋体" w:eastAsia="宋体"/>
                <w:color w:val="000000"/>
                <w:sz w:val="24"/>
                <w:lang w:val="en-US" w:eastAsia="zh-CN"/>
              </w:rPr>
              <w:t>-</w:t>
            </w:r>
            <w:r>
              <w:rPr>
                <w:rFonts w:hint="eastAsia" w:ascii="宋体" w:hAnsi="宋体"/>
                <w:color w:val="000000"/>
                <w:sz w:val="24"/>
              </w:rPr>
              <w:t>信丰）航段规划里程为102.9</w:t>
            </w:r>
            <w:r>
              <w:rPr>
                <w:rFonts w:hint="eastAsia" w:ascii="宋体" w:hAnsi="宋体" w:eastAsia="宋体"/>
                <w:color w:val="000000"/>
                <w:sz w:val="24"/>
                <w:lang w:val="en-US" w:eastAsia="zh-CN"/>
              </w:rPr>
              <w:t>公里</w:t>
            </w:r>
            <w:r>
              <w:rPr>
                <w:rFonts w:hint="eastAsia" w:ascii="宋体" w:hAnsi="宋体"/>
                <w:color w:val="000000"/>
                <w:sz w:val="24"/>
              </w:rPr>
              <w:t>，现状为等外航道，2035年规划为等外航道标准，为地区一般航道。</w:t>
            </w:r>
          </w:p>
          <w:p>
            <w:pPr>
              <w:overflowPunct w:val="0"/>
              <w:adjustRightInd w:val="0"/>
              <w:snapToGrid w:val="0"/>
              <w:spacing w:line="360" w:lineRule="auto"/>
              <w:ind w:firstLine="458" w:firstLineChars="200"/>
              <w:jc w:val="both"/>
              <w:rPr>
                <w:rFonts w:hint="eastAsia" w:ascii="宋体" w:hAnsi="宋体"/>
                <w:color w:val="000000"/>
                <w:sz w:val="24"/>
                <w:lang w:val="en-US" w:eastAsia="zh-CN"/>
              </w:rPr>
            </w:pPr>
            <w:r>
              <w:rPr>
                <w:rFonts w:hint="eastAsia" w:ascii="宋体" w:hAnsi="宋体"/>
                <w:color w:val="000000"/>
                <w:sz w:val="24"/>
                <w:lang w:val="en-US" w:eastAsia="zh-CN"/>
              </w:rPr>
              <w:t>梅江（宁都县城-宁都江口）航段规划为34.5</w:t>
            </w:r>
            <w:r>
              <w:rPr>
                <w:rFonts w:hint="eastAsia" w:ascii="宋体" w:hAnsi="宋体" w:eastAsia="宋体"/>
                <w:color w:val="000000"/>
                <w:sz w:val="24"/>
                <w:lang w:val="en-US" w:eastAsia="zh-CN"/>
              </w:rPr>
              <w:t>公里</w:t>
            </w:r>
            <w:r>
              <w:rPr>
                <w:rFonts w:hint="eastAsia" w:ascii="宋体" w:hAnsi="宋体"/>
                <w:color w:val="000000"/>
                <w:sz w:val="24"/>
                <w:lang w:val="en-US" w:eastAsia="zh-CN"/>
              </w:rPr>
              <w:t>，现状为等外航道，2035年规划为等外航道标准，为地区一般航道。</w:t>
            </w:r>
          </w:p>
          <w:p>
            <w:pPr>
              <w:overflowPunct w:val="0"/>
              <w:adjustRightInd w:val="0"/>
              <w:snapToGrid w:val="0"/>
              <w:spacing w:line="360" w:lineRule="auto"/>
              <w:ind w:firstLine="458" w:firstLineChars="200"/>
              <w:jc w:val="both"/>
              <w:rPr>
                <w:rFonts w:hint="eastAsia" w:ascii="宋体" w:hAnsi="宋体"/>
                <w:color w:val="000000"/>
                <w:sz w:val="24"/>
              </w:rPr>
            </w:pPr>
            <w:r>
              <w:rPr>
                <w:rFonts w:hint="eastAsia" w:ascii="宋体" w:hAnsi="宋体"/>
                <w:color w:val="000000"/>
                <w:sz w:val="24"/>
                <w:lang w:val="en-US" w:eastAsia="zh-CN"/>
              </w:rPr>
              <w:t>白沙江（宁都江口-白口塘）航段规划里程为99.5</w:t>
            </w:r>
            <w:r>
              <w:rPr>
                <w:rFonts w:hint="eastAsia" w:ascii="宋体" w:hAnsi="宋体" w:eastAsia="宋体"/>
                <w:color w:val="000000"/>
                <w:sz w:val="24"/>
                <w:lang w:val="en-US" w:eastAsia="zh-CN"/>
              </w:rPr>
              <w:t>公里</w:t>
            </w:r>
            <w:r>
              <w:rPr>
                <w:rFonts w:hint="eastAsia" w:ascii="宋体" w:hAnsi="宋体"/>
                <w:color w:val="000000"/>
                <w:sz w:val="24"/>
                <w:lang w:val="en-US" w:eastAsia="zh-CN"/>
              </w:rPr>
              <w:t>，现状为等外航道，2035年规划为等外航道标准，为地区一般航道。</w:t>
            </w:r>
          </w:p>
          <w:p>
            <w:pPr>
              <w:overflowPunct w:val="0"/>
              <w:adjustRightInd w:val="0"/>
              <w:snapToGrid w:val="0"/>
              <w:spacing w:line="360" w:lineRule="auto"/>
              <w:ind w:firstLine="458" w:firstLineChars="200"/>
              <w:jc w:val="both"/>
              <w:rPr>
                <w:rFonts w:hint="eastAsia"/>
              </w:rPr>
            </w:pPr>
            <w:r>
              <w:rPr>
                <w:rFonts w:hint="eastAsia" w:ascii="宋体" w:hAnsi="宋体"/>
                <w:color w:val="000000"/>
                <w:sz w:val="24"/>
              </w:rPr>
              <w:t>赣粤运河（赣粤省界</w:t>
            </w:r>
            <w:r>
              <w:rPr>
                <w:rFonts w:hint="eastAsia" w:ascii="宋体" w:hAnsi="宋体" w:eastAsia="宋体"/>
                <w:color w:val="000000"/>
                <w:sz w:val="24"/>
                <w:lang w:val="en-US" w:eastAsia="zh-CN"/>
              </w:rPr>
              <w:t>-</w:t>
            </w:r>
            <w:r>
              <w:rPr>
                <w:rFonts w:hint="eastAsia" w:ascii="宋体" w:hAnsi="宋体"/>
                <w:color w:val="000000"/>
                <w:sz w:val="24"/>
              </w:rPr>
              <w:t>赣州水尺）规划里程为138</w:t>
            </w:r>
            <w:r>
              <w:rPr>
                <w:rFonts w:hint="eastAsia" w:ascii="宋体" w:hAnsi="宋体" w:eastAsia="宋体"/>
                <w:color w:val="000000"/>
                <w:sz w:val="24"/>
                <w:lang w:val="en-US" w:eastAsia="zh-CN"/>
              </w:rPr>
              <w:t>公里</w:t>
            </w:r>
            <w:r>
              <w:rPr>
                <w:rFonts w:hint="eastAsia" w:ascii="宋体" w:hAnsi="宋体"/>
                <w:color w:val="000000"/>
                <w:sz w:val="24"/>
              </w:rPr>
              <w:t>，2035年发展目标为三级航道标准，作为赣粤运河路线、梯级布置及里程待研究确定。</w:t>
            </w:r>
          </w:p>
        </w:tc>
      </w:tr>
    </w:tbl>
    <w:p>
      <w:pPr>
        <w:spacing w:line="520" w:lineRule="exact"/>
        <w:ind w:firstLine="618" w:firstLineChars="200"/>
        <w:jc w:val="both"/>
        <w:rPr>
          <w:rFonts w:hint="eastAsia"/>
        </w:rPr>
      </w:pPr>
      <w:bookmarkStart w:id="27" w:name="_Hlk85183294"/>
      <w:bookmarkStart w:id="28" w:name="_Hlk82013219"/>
      <w:r>
        <w:rPr>
          <w:rFonts w:hint="eastAsia" w:ascii="仿宋_GB2312" w:hAnsi="仿宋_GB2312" w:eastAsia="仿宋_GB2312" w:cs="仿宋_GB2312"/>
          <w:color w:val="000000"/>
          <w:sz w:val="32"/>
          <w:szCs w:val="32"/>
        </w:rPr>
        <w:t>完善港口体系布局。形成“一港五区”</w:t>
      </w:r>
      <w:r>
        <w:rPr>
          <w:rStyle w:val="18"/>
          <w:rFonts w:hint="eastAsia" w:ascii="仿宋_GB2312" w:hAnsi="仿宋_GB2312" w:eastAsia="仿宋_GB2312" w:cs="仿宋_GB2312"/>
          <w:color w:val="000000"/>
          <w:sz w:val="32"/>
          <w:szCs w:val="32"/>
        </w:rPr>
        <w:footnoteReference w:id="1"/>
      </w:r>
      <w:r>
        <w:rPr>
          <w:rFonts w:hint="eastAsia" w:ascii="仿宋_GB2312" w:hAnsi="仿宋_GB2312" w:eastAsia="仿宋_GB2312" w:cs="仿宋_GB2312"/>
          <w:color w:val="000000"/>
          <w:sz w:val="32"/>
          <w:szCs w:val="32"/>
        </w:rPr>
        <w:t>的港口布局，构建“一主四重”</w:t>
      </w:r>
      <w:r>
        <w:rPr>
          <w:rStyle w:val="18"/>
          <w:rFonts w:hint="eastAsia" w:ascii="仿宋_GB2312" w:hAnsi="仿宋_GB2312" w:eastAsia="仿宋_GB2312" w:cs="仿宋_GB2312"/>
          <w:color w:val="000000"/>
          <w:sz w:val="32"/>
          <w:szCs w:val="32"/>
        </w:rPr>
        <w:footnoteReference w:id="2"/>
      </w:r>
      <w:r>
        <w:rPr>
          <w:rFonts w:hint="eastAsia" w:ascii="仿宋_GB2312" w:hAnsi="仿宋_GB2312" w:eastAsia="仿宋_GB2312" w:cs="仿宋_GB2312"/>
          <w:color w:val="000000"/>
          <w:sz w:val="32"/>
          <w:szCs w:val="32"/>
        </w:rPr>
        <w:t>港口体系，建成赣州赣县港区五云作业区综合枢纽码头二期工程，加快建设以赣县港区为重点，章贡、南康、于都、信丰等港区为支撑的智慧港口群，</w:t>
      </w:r>
      <w:r>
        <w:rPr>
          <w:rFonts w:hint="eastAsia" w:ascii="仿宋_GB2312" w:hAnsi="仿宋_GB2312" w:eastAsia="仿宋_GB2312" w:cs="仿宋_GB2312"/>
          <w:sz w:val="32"/>
          <w:szCs w:val="32"/>
        </w:rPr>
        <w:t>全面实现赣州至南昌三级航道通航</w:t>
      </w:r>
      <w:r>
        <w:rPr>
          <w:rFonts w:hint="eastAsia" w:ascii="仿宋_GB2312" w:hAnsi="仿宋_GB2312" w:eastAsia="仿宋_GB2312" w:cs="仿宋_GB2312"/>
          <w:color w:val="000000"/>
          <w:sz w:val="32"/>
          <w:szCs w:val="32"/>
        </w:rPr>
        <w:t>，奠定通江达海的基础，把赣州港建设成省内第三大港口枢纽、全国内河主要港口。以赣州港为支撑，全面支撑我市对外开放和区域经济高质量发展，与长三角港口群实现江海联动。</w:t>
      </w:r>
    </w:p>
    <w:bookmarkEnd w:id="27"/>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5000" w:type="pct"/>
            <w:noWrap w:val="0"/>
            <w:vAlign w:val="center"/>
          </w:tcPr>
          <w:p>
            <w:pPr>
              <w:overflowPunct w:val="0"/>
              <w:adjustRightInd w:val="0"/>
              <w:snapToGrid w:val="0"/>
              <w:spacing w:line="400" w:lineRule="exact"/>
              <w:jc w:val="center"/>
              <w:rPr>
                <w:rFonts w:ascii="宋体" w:hAnsi="宋体"/>
                <w:color w:val="000000"/>
                <w:sz w:val="24"/>
              </w:rPr>
            </w:pPr>
            <w:r>
              <w:rPr>
                <w:rFonts w:ascii="宋体" w:hAnsi="宋体" w:eastAsia="黑体"/>
                <w:color w:val="000000"/>
                <w:sz w:val="28"/>
                <w:szCs w:val="28"/>
              </w:rPr>
              <w:t>专栏</w:t>
            </w:r>
            <w:r>
              <w:rPr>
                <w:rFonts w:hint="eastAsia" w:ascii="宋体" w:hAnsi="宋体" w:eastAsia="黑体"/>
                <w:color w:val="000000"/>
                <w:sz w:val="28"/>
                <w:szCs w:val="28"/>
              </w:rPr>
              <w:t>八：</w:t>
            </w:r>
            <w:r>
              <w:rPr>
                <w:rFonts w:ascii="宋体" w:hAnsi="宋体" w:eastAsia="黑体"/>
                <w:color w:val="000000"/>
                <w:sz w:val="28"/>
                <w:szCs w:val="28"/>
              </w:rPr>
              <w:t xml:space="preserve">  “一港五区”</w:t>
            </w:r>
            <w:r>
              <w:rPr>
                <w:rFonts w:hint="eastAsia" w:ascii="宋体" w:hAnsi="宋体" w:eastAsia="黑体"/>
                <w:color w:val="000000"/>
                <w:sz w:val="28"/>
                <w:szCs w:val="28"/>
              </w:rPr>
              <w:t>港口布局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5000" w:type="pct"/>
            <w:noWrap w:val="0"/>
            <w:vAlign w:val="center"/>
          </w:tcPr>
          <w:p>
            <w:pPr>
              <w:overflowPunct w:val="0"/>
              <w:adjustRightInd w:val="0"/>
              <w:snapToGrid w:val="0"/>
              <w:spacing w:line="360" w:lineRule="auto"/>
              <w:ind w:firstLine="458" w:firstLineChars="200"/>
              <w:jc w:val="both"/>
              <w:rPr>
                <w:rFonts w:hint="eastAsia" w:ascii="宋体" w:hAnsi="宋体"/>
                <w:color w:val="000000"/>
                <w:sz w:val="24"/>
              </w:rPr>
            </w:pPr>
            <w:r>
              <w:rPr>
                <w:rFonts w:hint="eastAsia" w:ascii="宋体" w:hAnsi="宋体"/>
                <w:color w:val="000000"/>
                <w:sz w:val="24"/>
              </w:rPr>
              <w:t>赣州港作为地区重要港口，包括赣县港区、章贡港区、南康港区、于都港区、信丰港区五个港区，构建赣州“一港五区”港口布局。</w:t>
            </w:r>
          </w:p>
          <w:p>
            <w:pPr>
              <w:overflowPunct w:val="0"/>
              <w:adjustRightInd w:val="0"/>
              <w:snapToGrid w:val="0"/>
              <w:spacing w:line="360" w:lineRule="auto"/>
              <w:ind w:firstLine="458" w:firstLineChars="200"/>
              <w:jc w:val="both"/>
              <w:rPr>
                <w:rFonts w:ascii="宋体" w:hAnsi="宋体"/>
                <w:color w:val="000000"/>
                <w:sz w:val="24"/>
              </w:rPr>
            </w:pPr>
            <w:r>
              <w:rPr>
                <w:rFonts w:hint="eastAsia" w:ascii="宋体" w:hAnsi="宋体"/>
                <w:color w:val="000000"/>
                <w:sz w:val="24"/>
              </w:rPr>
              <w:t>赣县港区：赣县港区规划为赣州港的核心港区，规划建设以集装箱和散杂货运输、旅游客运为主，兼顾港口支持保障系统功能的综合性港区。其中赣江段主要为赣州市大宗工业产品与原材料的集散及水陆中转运输服务，重点为赣州经济技术开发区、章贡区、蓉江新区等提供运输服务；同时配合赣州“三江六岸”旅游规划、大湖江国家湿地公园规划等发展水上旅游客运。贡江段主要为赣县区大宗工业产品与原材料提供水路运输服务，配套为赣州市客家文化城提供水上旅游客运。规划货运泊位作业区或岸线三处：新屋前作业区、滩头作业区、五云作业区；规划客运泊位作业区或岸线三处：客家文化城岸线、状元园岸线、湖江岸线。</w:t>
            </w:r>
          </w:p>
          <w:p>
            <w:pPr>
              <w:overflowPunct w:val="0"/>
              <w:adjustRightInd w:val="0"/>
              <w:snapToGrid w:val="0"/>
              <w:spacing w:line="360" w:lineRule="auto"/>
              <w:ind w:firstLine="458" w:firstLineChars="200"/>
              <w:jc w:val="both"/>
              <w:rPr>
                <w:rFonts w:ascii="宋体" w:hAnsi="宋体"/>
                <w:color w:val="000000"/>
                <w:sz w:val="24"/>
              </w:rPr>
            </w:pPr>
            <w:r>
              <w:rPr>
                <w:rFonts w:hint="eastAsia" w:ascii="宋体" w:hAnsi="宋体"/>
                <w:color w:val="000000"/>
                <w:sz w:val="24"/>
              </w:rPr>
              <w:t>章贡港区：章贡港区规划以旅游客运为主、兼顾港口支持保障系统功能，主要配合赣州“三江六岸”旅游规划，发展水上旅游客运。规划客运泊位作业区或岸线两处：涌金门岸线、章江旅游集散中心岸线。</w:t>
            </w:r>
          </w:p>
          <w:p>
            <w:pPr>
              <w:overflowPunct w:val="0"/>
              <w:adjustRightInd w:val="0"/>
              <w:snapToGrid w:val="0"/>
              <w:spacing w:line="360" w:lineRule="auto"/>
              <w:ind w:firstLine="458" w:firstLineChars="200"/>
              <w:jc w:val="both"/>
              <w:rPr>
                <w:rFonts w:ascii="宋体" w:hAnsi="宋体"/>
                <w:color w:val="000000"/>
                <w:sz w:val="24"/>
              </w:rPr>
            </w:pPr>
            <w:r>
              <w:rPr>
                <w:rFonts w:hint="eastAsia" w:ascii="宋体" w:hAnsi="宋体"/>
                <w:color w:val="000000"/>
                <w:sz w:val="24"/>
              </w:rPr>
              <w:t>于都港区：于都港区规划以旅游客运为主，兼顾港口支持保障系统功能，主要依托于都红色旅游发展水上旅游客运。</w:t>
            </w:r>
          </w:p>
          <w:p>
            <w:pPr>
              <w:overflowPunct w:val="0"/>
              <w:adjustRightInd w:val="0"/>
              <w:snapToGrid w:val="0"/>
              <w:spacing w:line="360" w:lineRule="auto"/>
              <w:ind w:firstLine="458" w:firstLineChars="200"/>
              <w:jc w:val="both"/>
              <w:rPr>
                <w:rFonts w:ascii="宋体" w:hAnsi="宋体"/>
                <w:color w:val="000000"/>
                <w:sz w:val="24"/>
              </w:rPr>
            </w:pPr>
            <w:r>
              <w:rPr>
                <w:rFonts w:hint="eastAsia" w:ascii="宋体" w:hAnsi="宋体"/>
                <w:color w:val="000000"/>
                <w:sz w:val="24"/>
              </w:rPr>
              <w:t xml:space="preserve">南康港区：南康港区规划以旅游客运为主，兼顾港口支持保障系统功能，依托南康生态休闲旅游资源发展水上旅游客运。 </w:t>
            </w:r>
            <w:r>
              <w:rPr>
                <w:rFonts w:ascii="宋体" w:hAnsi="宋体"/>
                <w:color w:val="000000"/>
                <w:sz w:val="24"/>
              </w:rPr>
              <w:t xml:space="preserve">  </w:t>
            </w:r>
          </w:p>
          <w:p>
            <w:pPr>
              <w:overflowPunct w:val="0"/>
              <w:adjustRightInd w:val="0"/>
              <w:snapToGrid w:val="0"/>
              <w:spacing w:line="360" w:lineRule="auto"/>
              <w:ind w:firstLine="458" w:firstLineChars="200"/>
              <w:jc w:val="both"/>
              <w:rPr>
                <w:rFonts w:hint="eastAsia" w:ascii="宋体" w:hAnsi="宋体"/>
                <w:color w:val="000000"/>
                <w:sz w:val="24"/>
              </w:rPr>
            </w:pPr>
            <w:r>
              <w:rPr>
                <w:rFonts w:hint="eastAsia" w:ascii="宋体" w:hAnsi="宋体"/>
                <w:color w:val="000000"/>
                <w:sz w:val="24"/>
              </w:rPr>
              <w:t>信丰港区：信丰港区规划以旅游客运为主，兼顾港口支持保障系统功能，远景发展散杂货运输，主要依托沿江花园湾、南山公园等景点发展水上旅游客运，远景为信丰县及周边城镇企业提供能源、原材料和产成品的运输服务。</w:t>
            </w:r>
          </w:p>
        </w:tc>
      </w:tr>
      <w:bookmarkEnd w:id="28"/>
    </w:tbl>
    <w:p>
      <w:pPr>
        <w:pStyle w:val="6"/>
        <w:keepNext w:val="0"/>
        <w:keepLines w:val="0"/>
        <w:spacing w:before="0" w:after="0" w:line="560" w:lineRule="exact"/>
        <w:ind w:firstLine="618" w:firstLineChars="200"/>
        <w:rPr>
          <w:rFonts w:hint="eastAsia" w:ascii="楷体_GB2312" w:hAnsi="楷体_GB2312" w:eastAsia="楷体_GB2312" w:cs="楷体_GB2312"/>
          <w:b w:val="0"/>
          <w:bCs/>
          <w:color w:val="000000"/>
          <w:szCs w:val="32"/>
        </w:rPr>
      </w:pPr>
      <w:bookmarkStart w:id="29" w:name="_Toc91265258"/>
      <w:bookmarkStart w:id="30" w:name="_Toc151387974"/>
      <w:bookmarkStart w:id="31" w:name="_Toc456860908"/>
      <w:r>
        <w:rPr>
          <w:rFonts w:hint="eastAsia" w:ascii="楷体_GB2312" w:hAnsi="楷体_GB2312" w:eastAsia="楷体_GB2312" w:cs="楷体_GB2312"/>
          <w:b w:val="0"/>
          <w:bCs/>
          <w:color w:val="000000"/>
          <w:szCs w:val="32"/>
        </w:rPr>
        <w:t>（四）</w:t>
      </w:r>
      <w:bookmarkEnd w:id="29"/>
      <w:r>
        <w:rPr>
          <w:rFonts w:hint="eastAsia" w:ascii="楷体_GB2312" w:hAnsi="楷体_GB2312" w:eastAsia="楷体_GB2312" w:cs="楷体_GB2312"/>
          <w:b w:val="0"/>
          <w:bCs/>
          <w:color w:val="000000"/>
          <w:szCs w:val="32"/>
        </w:rPr>
        <w:t>打造布局完善的民用机场网</w:t>
      </w:r>
      <w:bookmarkEnd w:id="30"/>
    </w:p>
    <w:p>
      <w:pPr>
        <w:tabs>
          <w:tab w:val="left" w:pos="780"/>
        </w:tabs>
        <w:spacing w:line="560" w:lineRule="exact"/>
        <w:ind w:firstLine="618" w:firstLineChars="200"/>
        <w:jc w:val="both"/>
        <w:rPr>
          <w:rFonts w:hint="eastAsia" w:ascii="宋体" w:hAnsi="宋体" w:eastAsia="仿宋_GB2312" w:cs="仿宋_GB2312"/>
          <w:bCs/>
          <w:sz w:val="32"/>
          <w:szCs w:val="32"/>
          <w:lang w:eastAsia="zh-CN"/>
        </w:rPr>
      </w:pPr>
      <w:r>
        <w:rPr>
          <w:rFonts w:hint="eastAsia" w:ascii="宋体" w:hAnsi="宋体" w:eastAsia="仿宋_GB2312" w:cs="仿宋_GB2312"/>
          <w:bCs/>
          <w:sz w:val="32"/>
          <w:szCs w:val="32"/>
        </w:rPr>
        <w:t>突出民航对全市产业升级、资源要素聚集的重要作用，强化机场对经济社会服务和旅游资源的覆盖，建成以赣州黄金机场为主干枢纽，赣州瑞金机场为支干枢纽的“一干一支”</w:t>
      </w:r>
      <w:r>
        <w:rPr>
          <w:rStyle w:val="18"/>
          <w:bCs/>
          <w:sz w:val="32"/>
          <w:szCs w:val="32"/>
        </w:rPr>
        <w:footnoteReference w:id="3"/>
      </w:r>
      <w:r>
        <w:rPr>
          <w:rFonts w:hint="eastAsia" w:ascii="宋体" w:hAnsi="宋体" w:eastAsia="仿宋_GB2312" w:cs="仿宋_GB2312"/>
          <w:bCs/>
          <w:sz w:val="32"/>
          <w:szCs w:val="32"/>
        </w:rPr>
        <w:t>的运输机场格局。完善赣州黄金机场和赣州瑞金机场兼顾通用航空功能，推进规划建设定南、石城、龙南、宁都、会昌、寻乌、于都、兴国、安远、崇义</w:t>
      </w:r>
      <w:r>
        <w:rPr>
          <w:rFonts w:hint="eastAsia" w:ascii="宋体" w:hAnsi="宋体" w:eastAsia="仿宋_GB2312" w:cs="仿宋_GB2312"/>
          <w:bCs/>
          <w:sz w:val="32"/>
          <w:szCs w:val="32"/>
          <w:lang w:val="en-US" w:eastAsia="zh-CN"/>
        </w:rPr>
        <w:t>等十个</w:t>
      </w:r>
      <w:r>
        <w:rPr>
          <w:rFonts w:hint="eastAsia" w:ascii="宋体" w:hAnsi="宋体" w:eastAsia="仿宋_GB2312" w:cs="仿宋_GB2312"/>
          <w:bCs/>
          <w:sz w:val="32"/>
          <w:szCs w:val="32"/>
        </w:rPr>
        <w:t>通用机场建设，实现在公共服务和生产服务领域对运输机场的补充。形成“干支结合、客货并举、集疏高效”</w:t>
      </w:r>
      <w:r>
        <w:rPr>
          <w:rFonts w:hint="eastAsia" w:ascii="宋体" w:hAnsi="宋体" w:eastAsia="仿宋_GB2312" w:cs="仿宋_GB2312"/>
          <w:bCs/>
          <w:sz w:val="32"/>
          <w:szCs w:val="32"/>
          <w:lang w:eastAsia="zh-CN"/>
        </w:rPr>
        <w:t>的</w:t>
      </w:r>
      <w:r>
        <w:rPr>
          <w:rFonts w:hint="eastAsia" w:ascii="宋体" w:hAnsi="宋体" w:eastAsia="仿宋_GB2312" w:cs="仿宋_GB2312"/>
          <w:bCs/>
          <w:sz w:val="32"/>
          <w:szCs w:val="32"/>
        </w:rPr>
        <w:t>“一干一支</w:t>
      </w:r>
      <w:r>
        <w:rPr>
          <w:rFonts w:hint="eastAsia" w:ascii="宋体" w:hAnsi="宋体" w:eastAsia="仿宋_GB2312" w:cs="仿宋_GB2312"/>
          <w:bCs/>
          <w:sz w:val="32"/>
          <w:szCs w:val="32"/>
          <w:lang w:val="en-US" w:eastAsia="zh-CN"/>
        </w:rPr>
        <w:t>十通用</w:t>
      </w:r>
      <w:r>
        <w:rPr>
          <w:rFonts w:hint="eastAsia" w:ascii="宋体" w:hAnsi="宋体" w:eastAsia="仿宋_GB2312" w:cs="仿宋_GB2312"/>
          <w:bCs/>
          <w:sz w:val="32"/>
          <w:szCs w:val="32"/>
        </w:rPr>
        <w:t>”机场布局</w:t>
      </w:r>
      <w:r>
        <w:rPr>
          <w:rFonts w:hint="eastAsia" w:ascii="宋体" w:hAnsi="宋体" w:eastAsia="仿宋_GB2312" w:cs="仿宋_GB2312"/>
          <w:bCs/>
          <w:sz w:val="32"/>
          <w:szCs w:val="32"/>
          <w:lang w:eastAsia="zh-CN"/>
        </w:rPr>
        <w:t>。</w:t>
      </w:r>
    </w:p>
    <w:p>
      <w:pPr>
        <w:pStyle w:val="6"/>
        <w:keepNext w:val="0"/>
        <w:keepLines w:val="0"/>
        <w:spacing w:before="0" w:after="0" w:line="560" w:lineRule="exact"/>
        <w:ind w:firstLine="618" w:firstLineChars="200"/>
        <w:jc w:val="both"/>
        <w:rPr>
          <w:rFonts w:hint="eastAsia" w:ascii="楷体_GB2312" w:hAnsi="楷体_GB2312" w:eastAsia="楷体_GB2312" w:cs="楷体_GB2312"/>
          <w:b w:val="0"/>
          <w:bCs/>
          <w:color w:val="000000"/>
          <w:szCs w:val="32"/>
        </w:rPr>
      </w:pPr>
      <w:bookmarkStart w:id="32" w:name="_Toc151387975"/>
      <w:r>
        <w:rPr>
          <w:rFonts w:hint="eastAsia" w:ascii="楷体_GB2312" w:hAnsi="楷体_GB2312" w:eastAsia="楷体_GB2312" w:cs="楷体_GB2312"/>
          <w:b w:val="0"/>
          <w:bCs/>
          <w:color w:val="000000"/>
          <w:szCs w:val="32"/>
        </w:rPr>
        <w:t>（五）构建覆盖城乡的邮政快递服务网</w:t>
      </w:r>
      <w:bookmarkEnd w:id="32"/>
    </w:p>
    <w:p>
      <w:pPr>
        <w:tabs>
          <w:tab w:val="left" w:pos="780"/>
        </w:tabs>
        <w:spacing w:line="560" w:lineRule="exact"/>
        <w:ind w:firstLine="618" w:firstLineChars="200"/>
        <w:jc w:val="both"/>
        <w:rPr>
          <w:rFonts w:ascii="宋体" w:hAnsi="宋体" w:eastAsia="仿宋_GB2312" w:cs="仿宋_GB2312"/>
          <w:bCs/>
          <w:sz w:val="32"/>
          <w:szCs w:val="32"/>
        </w:rPr>
      </w:pPr>
      <w:r>
        <w:rPr>
          <w:rFonts w:hint="eastAsia" w:ascii="宋体" w:hAnsi="宋体" w:eastAsia="仿宋_GB2312" w:cs="仿宋_GB2312"/>
          <w:bCs/>
          <w:sz w:val="32"/>
          <w:szCs w:val="32"/>
        </w:rPr>
        <w:t>依托综合交通枢纽城市建设，逐步建成赣州省级邮件快件处理中心。推进县乡村三级农村快递物流网络节点建设，形成县级快递物流中心全覆盖、乡镇“快递超市”全覆盖、建制村邮政快递网点全覆盖的邮政快递服务网络。</w:t>
      </w:r>
    </w:p>
    <w:p>
      <w:pPr>
        <w:pStyle w:val="6"/>
        <w:keepNext w:val="0"/>
        <w:keepLines w:val="0"/>
        <w:spacing w:before="0" w:after="0" w:line="560" w:lineRule="exact"/>
        <w:ind w:firstLine="618" w:firstLineChars="200"/>
        <w:jc w:val="both"/>
        <w:rPr>
          <w:rFonts w:hint="eastAsia" w:ascii="楷体_GB2312" w:hAnsi="楷体_GB2312" w:eastAsia="楷体_GB2312" w:cs="楷体_GB2312"/>
          <w:b w:val="0"/>
          <w:bCs/>
          <w:color w:val="000000"/>
          <w:szCs w:val="32"/>
        </w:rPr>
      </w:pPr>
      <w:bookmarkStart w:id="33" w:name="_Toc151387976"/>
      <w:r>
        <w:rPr>
          <w:rFonts w:hint="eastAsia" w:ascii="楷体_GB2312" w:hAnsi="楷体_GB2312" w:eastAsia="楷体_GB2312" w:cs="楷体_GB2312"/>
          <w:b w:val="0"/>
          <w:bCs/>
          <w:color w:val="000000"/>
          <w:szCs w:val="32"/>
        </w:rPr>
        <w:t>（六）强化综合交通网络有效衔接</w:t>
      </w:r>
      <w:bookmarkEnd w:id="33"/>
    </w:p>
    <w:p>
      <w:pPr>
        <w:tabs>
          <w:tab w:val="left" w:pos="780"/>
        </w:tabs>
        <w:spacing w:line="560" w:lineRule="exact"/>
        <w:ind w:firstLine="618" w:firstLineChars="200"/>
        <w:jc w:val="both"/>
        <w:rPr>
          <w:rFonts w:hint="eastAsia" w:ascii="宋体" w:hAnsi="宋体" w:eastAsia="仿宋_GB2312" w:cs="仿宋_GB2312"/>
          <w:bCs/>
          <w:sz w:val="32"/>
          <w:szCs w:val="32"/>
        </w:rPr>
      </w:pPr>
      <w:r>
        <w:rPr>
          <w:rFonts w:hint="eastAsia" w:ascii="宋体" w:hAnsi="宋体" w:eastAsia="仿宋_GB2312" w:cs="仿宋_GB2312"/>
          <w:bCs/>
          <w:sz w:val="32"/>
          <w:szCs w:val="32"/>
        </w:rPr>
        <w:t>加强不同运输方式网络衔接，以联网、补网、强链为重点，着力提升网络效益。</w:t>
      </w:r>
      <w:r>
        <w:rPr>
          <w:rFonts w:hint="eastAsia" w:ascii="宋体" w:hAnsi="宋体" w:eastAsia="仿宋_GB2312" w:cs="仿宋_GB2312"/>
          <w:bCs/>
          <w:sz w:val="32"/>
          <w:szCs w:val="32"/>
          <w:lang w:val="en-US" w:eastAsia="zh-CN"/>
        </w:rPr>
        <w:t>强化高速公路与干线公路、</w:t>
      </w:r>
      <w:r>
        <w:rPr>
          <w:rFonts w:hint="eastAsia" w:ascii="宋体" w:hAnsi="宋体" w:eastAsia="仿宋_GB2312" w:cs="仿宋_GB2312"/>
          <w:bCs/>
          <w:sz w:val="32"/>
          <w:szCs w:val="32"/>
        </w:rPr>
        <w:t>干线公路与城市道路衔接，提升进出城瓶颈路段通行能力，加强赣州主城区绕城高速建设，推进普通国省道县城城区过境路段改造，打造普通国省道与城市道路衔接发展试点。完善综合客运枢纽集疏运道路设施，加强机场、高铁车站与城市道路网高效衔接、便捷换乘。加快综合货运枢纽集疏运体系和多式联运换装设施建设，推动铁路进港口重点港区和大型工矿企业，畅通多式联运枢纽站场与城市主干道的连接,提高干支衔接能力和转运分拨效率。</w:t>
      </w:r>
    </w:p>
    <w:p>
      <w:pPr>
        <w:pStyle w:val="5"/>
        <w:keepNext w:val="0"/>
        <w:keepLines w:val="0"/>
        <w:pageBreakBefore w:val="0"/>
        <w:widowControl/>
        <w:kinsoku w:val="0"/>
        <w:wordWrap/>
        <w:overflowPunct/>
        <w:topLinePunct w:val="0"/>
        <w:autoSpaceDE w:val="0"/>
        <w:autoSpaceDN w:val="0"/>
        <w:bidi w:val="0"/>
        <w:adjustRightInd w:val="0"/>
        <w:snapToGrid w:val="0"/>
        <w:spacing w:beforeAutospacing="0" w:afterAutospacing="0" w:line="560" w:lineRule="exact"/>
        <w:ind w:firstLine="618" w:firstLineChars="200"/>
        <w:jc w:val="both"/>
        <w:textAlignment w:val="baseline"/>
        <w:rPr>
          <w:rFonts w:eastAsia="黑体" w:cs="黑体"/>
          <w:b w:val="0"/>
          <w:bCs w:val="0"/>
          <w:sz w:val="32"/>
          <w:szCs w:val="32"/>
        </w:rPr>
      </w:pPr>
      <w:bookmarkStart w:id="34" w:name="_Toc91265259"/>
      <w:bookmarkStart w:id="35" w:name="_Toc151387977"/>
      <w:r>
        <w:rPr>
          <w:rFonts w:hint="eastAsia" w:eastAsia="黑体" w:cs="黑体"/>
          <w:b w:val="0"/>
          <w:bCs w:val="0"/>
          <w:color w:val="000000"/>
          <w:sz w:val="32"/>
          <w:szCs w:val="32"/>
        </w:rPr>
        <w:t>四、</w:t>
      </w:r>
      <w:bookmarkEnd w:id="34"/>
      <w:r>
        <w:rPr>
          <w:rFonts w:hint="eastAsia" w:eastAsia="黑体" w:cs="黑体"/>
          <w:b w:val="0"/>
          <w:bCs w:val="0"/>
          <w:sz w:val="32"/>
          <w:szCs w:val="32"/>
        </w:rPr>
        <w:t>构建多层级一体化综合交通枢纽系统</w:t>
      </w:r>
      <w:bookmarkEnd w:id="35"/>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18" w:firstLineChars="200"/>
        <w:jc w:val="both"/>
        <w:textAlignment w:val="baseline"/>
        <w:rPr>
          <w:rFonts w:hint="eastAsia" w:ascii="宋体" w:hAnsi="宋体" w:eastAsia="仿宋_GB2312" w:cs="仿宋_GB2312"/>
          <w:bCs/>
          <w:sz w:val="32"/>
          <w:szCs w:val="32"/>
        </w:rPr>
      </w:pPr>
      <w:r>
        <w:rPr>
          <w:rFonts w:hint="eastAsia" w:ascii="宋体" w:hAnsi="宋体" w:eastAsia="仿宋_GB2312" w:cs="仿宋_GB2312"/>
          <w:bCs/>
          <w:sz w:val="32"/>
          <w:szCs w:val="32"/>
        </w:rPr>
        <w:t>建设由枢纽城市、枢纽港站构成的综合交通枢纽系统，统筹枢纽城市各种运输方式发展，提升综合效益和辐射能力。围绕“一核两极多中心”</w:t>
      </w:r>
      <w:r>
        <w:rPr>
          <w:rStyle w:val="18"/>
          <w:bCs/>
          <w:sz w:val="32"/>
          <w:szCs w:val="32"/>
        </w:rPr>
        <w:footnoteReference w:id="4"/>
      </w:r>
      <w:r>
        <w:rPr>
          <w:rFonts w:hint="eastAsia" w:ascii="宋体" w:hAnsi="宋体" w:eastAsia="仿宋_GB2312" w:cs="仿宋_GB2312"/>
          <w:bCs/>
          <w:sz w:val="32"/>
          <w:szCs w:val="32"/>
        </w:rPr>
        <w:t>综合交通枢纽体系建设，提升枢纽服务功能。</w:t>
      </w:r>
    </w:p>
    <w:p>
      <w:pPr>
        <w:pStyle w:val="6"/>
        <w:keepNext w:val="0"/>
        <w:keepLines w:val="0"/>
        <w:spacing w:before="0" w:after="0" w:line="560" w:lineRule="exact"/>
        <w:ind w:firstLine="618" w:firstLineChars="200"/>
        <w:jc w:val="both"/>
        <w:rPr>
          <w:rFonts w:hint="eastAsia" w:ascii="楷体_GB2312" w:hAnsi="楷体_GB2312" w:eastAsia="楷体_GB2312" w:cs="楷体_GB2312"/>
          <w:b w:val="0"/>
          <w:bCs/>
          <w:color w:val="000000"/>
          <w:szCs w:val="32"/>
        </w:rPr>
      </w:pPr>
      <w:bookmarkStart w:id="36" w:name="_Toc91265260"/>
      <w:bookmarkStart w:id="37" w:name="_Toc151387978"/>
      <w:r>
        <w:rPr>
          <w:rFonts w:hint="eastAsia" w:ascii="楷体_GB2312" w:hAnsi="楷体_GB2312" w:eastAsia="楷体_GB2312" w:cs="楷体_GB2312"/>
          <w:b w:val="0"/>
          <w:bCs/>
          <w:color w:val="000000"/>
          <w:szCs w:val="32"/>
        </w:rPr>
        <w:t>（一）</w:t>
      </w:r>
      <w:bookmarkEnd w:id="36"/>
      <w:r>
        <w:rPr>
          <w:rFonts w:hint="eastAsia" w:ascii="楷体_GB2312" w:hAnsi="楷体_GB2312" w:eastAsia="楷体_GB2312" w:cs="楷体_GB2312"/>
          <w:b w:val="0"/>
          <w:bCs/>
          <w:color w:val="000000"/>
          <w:szCs w:val="32"/>
        </w:rPr>
        <w:t>提升综合交通枢纽辐射能力</w:t>
      </w:r>
      <w:bookmarkEnd w:id="37"/>
    </w:p>
    <w:p>
      <w:pPr>
        <w:spacing w:line="560" w:lineRule="exact"/>
        <w:ind w:firstLine="618" w:firstLineChars="200"/>
        <w:jc w:val="both"/>
        <w:rPr>
          <w:rFonts w:hint="eastAsia" w:ascii="仿宋_GB2312" w:hAnsi="宋体" w:eastAsia="仿宋_GB2312" w:cs="仿宋_GB2312"/>
          <w:bCs/>
          <w:sz w:val="32"/>
          <w:szCs w:val="32"/>
        </w:rPr>
      </w:pPr>
      <w:r>
        <w:rPr>
          <w:rFonts w:hint="eastAsia" w:ascii="仿宋_GB2312" w:hAnsi="宋体" w:eastAsia="仿宋_GB2312" w:cs="仿宋_GB2312"/>
          <w:bCs/>
          <w:sz w:val="32"/>
          <w:szCs w:val="32"/>
        </w:rPr>
        <w:t>提升“一核”门户功能。打造以赣州黄金机场、赣州西站、赣州国际陆港</w:t>
      </w:r>
      <w:r>
        <w:rPr>
          <w:rFonts w:hint="eastAsia" w:ascii="仿宋_GB2312" w:hAnsi="宋体" w:eastAsia="仿宋_GB2312" w:cs="仿宋_GB2312"/>
          <w:bCs/>
          <w:sz w:val="32"/>
          <w:szCs w:val="32"/>
          <w:lang w:eastAsia="zh-CN"/>
        </w:rPr>
        <w:t>、</w:t>
      </w:r>
      <w:r>
        <w:rPr>
          <w:rFonts w:hint="eastAsia" w:ascii="仿宋_GB2312" w:hAnsi="宋体" w:eastAsia="仿宋_GB2312" w:cs="仿宋_GB2312"/>
          <w:bCs/>
          <w:sz w:val="32"/>
          <w:szCs w:val="32"/>
          <w:lang w:val="en-US" w:eastAsia="zh-CN"/>
        </w:rPr>
        <w:t>五云综合货运码头</w:t>
      </w:r>
      <w:r>
        <w:rPr>
          <w:rFonts w:hint="eastAsia" w:ascii="仿宋_GB2312" w:hAnsi="宋体" w:eastAsia="仿宋_GB2312" w:cs="仿宋_GB2312"/>
          <w:bCs/>
          <w:sz w:val="32"/>
          <w:szCs w:val="32"/>
        </w:rPr>
        <w:t>为核心的赣州中心城区门户枢纽，加快建设区域枢纽机场、主要内河港口、铁路物流基地。着力提升国际互联互通水平，完善空港、水港、陆港功能，扩大连接国外重要城市的运输网络，提升航空、航运、铁路运输国际服务功能。进一步加强与粤港澳大湾区、海西经济区、长三角地区之间的沟通交流。将赣州打造成具有国内影响力的枢纽经济增长极。</w:t>
      </w:r>
    </w:p>
    <w:p>
      <w:pPr>
        <w:spacing w:line="560" w:lineRule="exact"/>
        <w:ind w:firstLine="618" w:firstLineChars="200"/>
        <w:jc w:val="both"/>
        <w:rPr>
          <w:rFonts w:hint="eastAsia" w:ascii="仿宋_GB2312" w:hAnsi="宋体" w:eastAsia="仿宋_GB2312" w:cs="仿宋_GB2312"/>
          <w:bCs/>
          <w:sz w:val="32"/>
          <w:szCs w:val="32"/>
        </w:rPr>
      </w:pPr>
      <w:r>
        <w:rPr>
          <w:rFonts w:hint="eastAsia" w:ascii="仿宋_GB2312" w:hAnsi="宋体" w:eastAsia="仿宋_GB2312" w:cs="仿宋_GB2312"/>
          <w:bCs/>
          <w:sz w:val="32"/>
          <w:szCs w:val="32"/>
        </w:rPr>
        <w:t>强化“两极”支撑能力。提升瑞金、龙南区域综合交通枢纽功能，强化铁路中转分拨功能和集疏运网络建设，增强区域辐射能力。建成瑞金市、龙南市综合客运枢纽项目，统筹铁路、公路、航空等站场建设，结合区位特点、产业优势，打造特色功能，充分发挥区域性支撑带动作用，实现交通运输多元化多样化发展。</w:t>
      </w:r>
    </w:p>
    <w:p>
      <w:pPr>
        <w:spacing w:line="560" w:lineRule="exact"/>
        <w:ind w:firstLine="618" w:firstLineChars="200"/>
        <w:jc w:val="both"/>
        <w:rPr>
          <w:rFonts w:ascii="宋体" w:hAnsi="宋体" w:eastAsia="仿宋_GB2312" w:cs="仿宋_GB2312"/>
          <w:bCs/>
          <w:sz w:val="32"/>
          <w:szCs w:val="32"/>
        </w:rPr>
      </w:pPr>
      <w:r>
        <w:rPr>
          <w:rFonts w:hint="eastAsia" w:ascii="仿宋_GB2312" w:hAnsi="宋体" w:eastAsia="仿宋_GB2312" w:cs="仿宋_GB2312"/>
          <w:bCs/>
          <w:sz w:val="32"/>
          <w:szCs w:val="32"/>
        </w:rPr>
        <w:t>加强“多中心”基础建设。</w:t>
      </w:r>
      <w:bookmarkStart w:id="38" w:name="_Toc91265261"/>
      <w:bookmarkStart w:id="39" w:name="_Toc466882825"/>
      <w:r>
        <w:rPr>
          <w:rFonts w:hint="eastAsia" w:ascii="仿宋_GB2312" w:hAnsi="宋体" w:eastAsia="仿宋_GB2312" w:cs="仿宋_GB2312"/>
          <w:bCs/>
          <w:sz w:val="32"/>
          <w:szCs w:val="32"/>
        </w:rPr>
        <w:t>完善县级客运站场布局，对仍有较大公路客运需求的县（市、区），结合城市用地发展与铁路建设计划，推进公路客运站的迁建或升级改造。建设定南南站综合客运枢纽、于都县综合客运枢纽、信丰县综合客运枢纽、赣县综合客运枢纽、宁都县综合客运枢纽、兴国县城西客运枢纽、上犹县旅游客运集散中心等县级综合枢纽。整合规划建设高铁枢纽、长途客运枢纽、旅游集散中心等，推动定制旅游包车、共享汽车业务进入高铁站。研究转变传统开发建设模式，推进“站运分离”，形成“站场+综合车场+商业综合体”的场站综合开发模式。</w:t>
      </w:r>
    </w:p>
    <w:p>
      <w:pPr>
        <w:pStyle w:val="6"/>
        <w:keepNext w:val="0"/>
        <w:keepLines w:val="0"/>
        <w:spacing w:before="0" w:after="0" w:line="560" w:lineRule="exact"/>
        <w:ind w:firstLine="618" w:firstLineChars="200"/>
        <w:jc w:val="both"/>
        <w:rPr>
          <w:rFonts w:hint="eastAsia" w:ascii="楷体_GB2312" w:hAnsi="楷体_GB2312" w:eastAsia="楷体_GB2312" w:cs="楷体_GB2312"/>
          <w:b w:val="0"/>
          <w:bCs/>
          <w:color w:val="000000"/>
          <w:szCs w:val="32"/>
        </w:rPr>
      </w:pPr>
      <w:bookmarkStart w:id="40" w:name="_Toc151387979"/>
      <w:r>
        <w:rPr>
          <w:rFonts w:hint="eastAsia" w:ascii="楷体_GB2312" w:hAnsi="楷体_GB2312" w:eastAsia="楷体_GB2312" w:cs="楷体_GB2312"/>
          <w:b w:val="0"/>
          <w:bCs/>
          <w:color w:val="000000"/>
          <w:szCs w:val="32"/>
        </w:rPr>
        <w:t>（二）</w:t>
      </w:r>
      <w:bookmarkEnd w:id="38"/>
      <w:bookmarkEnd w:id="39"/>
      <w:r>
        <w:rPr>
          <w:rFonts w:hint="eastAsia" w:ascii="楷体_GB2312" w:hAnsi="楷体_GB2312" w:eastAsia="楷体_GB2312" w:cs="楷体_GB2312"/>
          <w:b w:val="0"/>
          <w:bCs/>
          <w:color w:val="000000"/>
          <w:szCs w:val="32"/>
        </w:rPr>
        <w:t>强化铁路枢纽综合客货运功能</w:t>
      </w:r>
      <w:bookmarkEnd w:id="40"/>
    </w:p>
    <w:p>
      <w:pPr>
        <w:spacing w:line="560" w:lineRule="exact"/>
        <w:ind w:firstLine="618" w:firstLineChars="200"/>
        <w:jc w:val="both"/>
        <w:rPr>
          <w:rFonts w:hint="eastAsia" w:ascii="宋体" w:hAnsi="宋体" w:eastAsia="仿宋_GB2312" w:cs="仿宋_GB2312"/>
          <w:bCs/>
          <w:sz w:val="32"/>
          <w:szCs w:val="32"/>
        </w:rPr>
      </w:pPr>
      <w:bookmarkStart w:id="41" w:name="_Toc466882827"/>
      <w:r>
        <w:rPr>
          <w:rFonts w:hint="eastAsia" w:ascii="宋体" w:hAnsi="宋体" w:eastAsia="仿宋_GB2312" w:cs="仿宋_GB2312"/>
          <w:bCs/>
          <w:sz w:val="32"/>
          <w:szCs w:val="32"/>
        </w:rPr>
        <w:t>提高铁路客运枢纽综合服务水平。以赣州西、赣州北高铁客运站为重点，以其他铁路客运站为补充，打造一批铁路主导型综合客运枢纽，满足面向省市区域间中长途出行和市域城际间出行需求。强化铁路客运枢纽、机场、城市交通的便捷联接，按照“零距离”换乘理念，加强大型枢纽客运站内便捷换乘中心建设，强化协同管理。</w:t>
      </w:r>
    </w:p>
    <w:p>
      <w:pPr>
        <w:spacing w:line="560" w:lineRule="exact"/>
        <w:ind w:firstLine="618" w:firstLineChars="200"/>
        <w:jc w:val="both"/>
        <w:rPr>
          <w:rFonts w:ascii="宋体" w:hAnsi="宋体" w:eastAsia="仿宋_GB2312" w:cs="仿宋_GB2312"/>
          <w:bCs/>
          <w:sz w:val="32"/>
          <w:szCs w:val="32"/>
        </w:rPr>
      </w:pPr>
      <w:r>
        <w:rPr>
          <w:rFonts w:hint="eastAsia" w:ascii="宋体" w:hAnsi="宋体" w:eastAsia="仿宋_GB2312" w:cs="仿宋_GB2312"/>
          <w:bCs/>
          <w:sz w:val="32"/>
          <w:szCs w:val="32"/>
        </w:rPr>
        <w:t>拓展铁路货运枢纽物流服务功能。以赣州国际陆港为核心，以其他二级以上铁路物流基地为支撑，打造一批铁路综合货运枢纽，服务国际、省际间大批次货物转运及分拨等物流活动。按照“无缝化”衔接要求，完善铁路货运枢纽多式联运、邮快件运输、集疏运等“一站式”服务设施，提升枢纽集散能力和服务效率。推进传统货运场站向综合性物流中心转型发展。</w:t>
      </w:r>
    </w:p>
    <w:p>
      <w:pPr>
        <w:pStyle w:val="6"/>
        <w:keepNext w:val="0"/>
        <w:keepLines w:val="0"/>
        <w:spacing w:before="0" w:after="0" w:line="560" w:lineRule="exact"/>
        <w:ind w:firstLine="618" w:firstLineChars="200"/>
        <w:jc w:val="both"/>
        <w:rPr>
          <w:rFonts w:hint="eastAsia" w:ascii="楷体_GB2312" w:hAnsi="楷体_GB2312" w:eastAsia="楷体_GB2312" w:cs="楷体_GB2312"/>
          <w:b w:val="0"/>
          <w:bCs/>
          <w:color w:val="000000"/>
          <w:szCs w:val="32"/>
        </w:rPr>
      </w:pPr>
      <w:bookmarkStart w:id="42" w:name="_Toc151387980"/>
      <w:r>
        <w:rPr>
          <w:rFonts w:hint="eastAsia" w:ascii="楷体_GB2312" w:hAnsi="楷体_GB2312" w:eastAsia="楷体_GB2312" w:cs="楷体_GB2312"/>
          <w:b w:val="0"/>
          <w:bCs/>
          <w:color w:val="000000"/>
          <w:szCs w:val="32"/>
        </w:rPr>
        <w:t>（三）建设功能完善的民用机场枢纽</w:t>
      </w:r>
      <w:bookmarkEnd w:id="42"/>
    </w:p>
    <w:p>
      <w:pPr>
        <w:spacing w:line="560" w:lineRule="exact"/>
        <w:ind w:firstLine="618" w:firstLineChars="200"/>
        <w:jc w:val="both"/>
        <w:rPr>
          <w:rFonts w:ascii="宋体" w:hAnsi="宋体" w:eastAsia="仿宋_GB2312" w:cs="仿宋_GB2312"/>
          <w:bCs/>
          <w:sz w:val="32"/>
          <w:szCs w:val="32"/>
        </w:rPr>
      </w:pPr>
      <w:r>
        <w:rPr>
          <w:rFonts w:hint="eastAsia" w:ascii="宋体" w:hAnsi="宋体" w:eastAsia="仿宋_GB2312" w:cs="仿宋_GB2312"/>
          <w:bCs/>
          <w:sz w:val="32"/>
          <w:szCs w:val="32"/>
        </w:rPr>
        <w:t>提升赣州黄金机场辐射能力，加快建设赣州黄金机场三期改扩建工程，构建面向东南亚及东北亚，辐射赣南及粤、闽、湘等周边地区的全省次枢纽、省际区域枢纽机场。推动赣州瑞金机场与赣州黄金机场功能互补、一体联动发展，打造成为主要服务于赣州东部地区的节点机场。</w:t>
      </w:r>
    </w:p>
    <w:p>
      <w:pPr>
        <w:pStyle w:val="6"/>
        <w:keepNext w:val="0"/>
        <w:keepLines w:val="0"/>
        <w:spacing w:before="0" w:after="0" w:line="560" w:lineRule="exact"/>
        <w:ind w:firstLine="618" w:firstLineChars="200"/>
        <w:jc w:val="both"/>
        <w:rPr>
          <w:rFonts w:hint="eastAsia" w:ascii="楷体_GB2312" w:hAnsi="楷体_GB2312" w:eastAsia="楷体_GB2312" w:cs="楷体_GB2312"/>
          <w:b w:val="0"/>
          <w:bCs/>
          <w:color w:val="000000"/>
          <w:szCs w:val="32"/>
        </w:rPr>
      </w:pPr>
      <w:bookmarkStart w:id="43" w:name="_Toc151387981"/>
      <w:r>
        <w:rPr>
          <w:rFonts w:hint="eastAsia" w:ascii="楷体_GB2312" w:hAnsi="楷体_GB2312" w:eastAsia="楷体_GB2312" w:cs="楷体_GB2312"/>
          <w:b w:val="0"/>
          <w:bCs/>
          <w:color w:val="000000"/>
          <w:szCs w:val="32"/>
        </w:rPr>
        <w:t>（四）构建开放协同的现代港口群</w:t>
      </w:r>
      <w:bookmarkEnd w:id="43"/>
    </w:p>
    <w:p>
      <w:pPr>
        <w:spacing w:line="560" w:lineRule="exact"/>
        <w:ind w:firstLine="618" w:firstLineChars="200"/>
        <w:jc w:val="both"/>
        <w:rPr>
          <w:rFonts w:hint="eastAsia" w:ascii="仿宋_GB2312" w:hAnsi="宋体" w:eastAsia="仿宋_GB2312" w:cs="仿宋_GB2312"/>
          <w:bCs/>
          <w:sz w:val="32"/>
          <w:szCs w:val="32"/>
        </w:rPr>
      </w:pPr>
      <w:r>
        <w:rPr>
          <w:rFonts w:hint="eastAsia" w:ascii="仿宋_GB2312" w:hAnsi="宋体" w:eastAsia="仿宋_GB2312" w:cs="仿宋_GB2312"/>
          <w:bCs/>
          <w:sz w:val="32"/>
          <w:szCs w:val="32"/>
        </w:rPr>
        <w:t>加强赣州港赣县港区、章贡港区、于都港区、南康港区和信丰港区建设，完善与九江港、南昌港</w:t>
      </w:r>
      <w:r>
        <w:rPr>
          <w:rFonts w:hint="eastAsia" w:ascii="仿宋_GB2312" w:hAnsi="宋体" w:eastAsia="仿宋_GB2312" w:cs="仿宋_GB2312"/>
          <w:bCs/>
          <w:sz w:val="32"/>
          <w:szCs w:val="32"/>
          <w:lang w:eastAsia="zh-CN"/>
        </w:rPr>
        <w:t>、</w:t>
      </w:r>
      <w:r>
        <w:rPr>
          <w:rFonts w:hint="eastAsia" w:ascii="宋体" w:hAnsi="宋体" w:eastAsia="仿宋_GB2312" w:cs="仿宋_GB2312"/>
          <w:color w:val="000000"/>
          <w:spacing w:val="-6"/>
          <w:sz w:val="32"/>
          <w:szCs w:val="32"/>
          <w:shd w:val="clear" w:color="auto" w:fill="auto"/>
          <w:lang w:eastAsia="zh-CN"/>
        </w:rPr>
        <w:t>深圳港、广州港</w:t>
      </w:r>
      <w:r>
        <w:rPr>
          <w:rFonts w:hint="eastAsia" w:ascii="宋体" w:hAnsi="宋体" w:eastAsia="仿宋_GB2312" w:cs="仿宋_GB2312"/>
          <w:color w:val="000000"/>
          <w:spacing w:val="-6"/>
          <w:sz w:val="32"/>
          <w:szCs w:val="32"/>
          <w:shd w:val="clear" w:color="auto" w:fill="auto"/>
          <w:lang w:val="en-US" w:eastAsia="zh-CN"/>
        </w:rPr>
        <w:t>等港口</w:t>
      </w:r>
      <w:r>
        <w:rPr>
          <w:rFonts w:hint="eastAsia" w:ascii="仿宋_GB2312" w:hAnsi="宋体" w:eastAsia="仿宋_GB2312" w:cs="仿宋_GB2312"/>
          <w:bCs/>
          <w:sz w:val="32"/>
          <w:szCs w:val="32"/>
        </w:rPr>
        <w:t>之间的干支联运网络，提高协同效益。重点建设集约化、规模化港区，优先发展专业化码头和公用码头，有序推进老旧码头改造提升，加强港口物流设施、集疏运铁路、公路建设，提升信息化水平，促进港口与城市、产业园区协同发展。</w:t>
      </w:r>
    </w:p>
    <w:bookmarkEnd w:id="41"/>
    <w:p>
      <w:pPr>
        <w:pStyle w:val="5"/>
        <w:keepNext w:val="0"/>
        <w:keepLines w:val="0"/>
        <w:pageBreakBefore w:val="0"/>
        <w:widowControl/>
        <w:kinsoku w:val="0"/>
        <w:wordWrap/>
        <w:overflowPunct/>
        <w:topLinePunct w:val="0"/>
        <w:autoSpaceDE w:val="0"/>
        <w:autoSpaceDN w:val="0"/>
        <w:bidi w:val="0"/>
        <w:adjustRightInd w:val="0"/>
        <w:snapToGrid w:val="0"/>
        <w:spacing w:beforeAutospacing="0" w:afterAutospacing="0" w:line="560" w:lineRule="exact"/>
        <w:ind w:firstLine="618" w:firstLineChars="200"/>
        <w:jc w:val="both"/>
        <w:textAlignment w:val="baseline"/>
        <w:rPr>
          <w:rFonts w:hint="eastAsia" w:eastAsia="黑体" w:cs="黑体"/>
          <w:b w:val="0"/>
          <w:bCs w:val="0"/>
          <w:color w:val="000000"/>
          <w:sz w:val="32"/>
          <w:szCs w:val="32"/>
        </w:rPr>
      </w:pPr>
      <w:bookmarkStart w:id="44" w:name="_Toc91265262"/>
      <w:bookmarkStart w:id="45" w:name="_Toc151387982"/>
      <w:r>
        <w:rPr>
          <w:rFonts w:hint="eastAsia" w:eastAsia="黑体" w:cs="黑体"/>
          <w:b w:val="0"/>
          <w:bCs w:val="0"/>
          <w:color w:val="000000"/>
          <w:sz w:val="32"/>
          <w:szCs w:val="32"/>
        </w:rPr>
        <w:t>五、</w:t>
      </w:r>
      <w:bookmarkEnd w:id="44"/>
      <w:r>
        <w:rPr>
          <w:rFonts w:hint="eastAsia" w:eastAsia="黑体" w:cs="黑体"/>
          <w:b w:val="0"/>
          <w:bCs w:val="0"/>
          <w:color w:val="000000"/>
          <w:sz w:val="32"/>
          <w:szCs w:val="32"/>
        </w:rPr>
        <w:t>促进综合交通统筹融合发展</w:t>
      </w:r>
      <w:bookmarkEnd w:id="45"/>
    </w:p>
    <w:p>
      <w:pPr>
        <w:pStyle w:val="6"/>
        <w:keepNext w:val="0"/>
        <w:keepLines w:val="0"/>
        <w:spacing w:before="0" w:after="0" w:line="560" w:lineRule="exact"/>
        <w:ind w:firstLine="618" w:firstLineChars="200"/>
        <w:jc w:val="both"/>
        <w:rPr>
          <w:rFonts w:hint="eastAsia" w:ascii="楷体_GB2312" w:hAnsi="楷体_GB2312" w:eastAsia="楷体_GB2312" w:cs="楷体_GB2312"/>
          <w:b w:val="0"/>
          <w:bCs/>
          <w:color w:val="000000"/>
          <w:szCs w:val="32"/>
        </w:rPr>
      </w:pPr>
      <w:bookmarkStart w:id="46" w:name="_Toc91265263"/>
      <w:bookmarkStart w:id="47" w:name="_Toc151387983"/>
      <w:r>
        <w:rPr>
          <w:rFonts w:hint="eastAsia" w:ascii="楷体_GB2312" w:hAnsi="楷体_GB2312" w:eastAsia="楷体_GB2312" w:cs="楷体_GB2312"/>
          <w:b w:val="0"/>
          <w:bCs/>
          <w:color w:val="000000"/>
          <w:szCs w:val="32"/>
        </w:rPr>
        <w:t>（一）</w:t>
      </w:r>
      <w:bookmarkEnd w:id="46"/>
      <w:r>
        <w:rPr>
          <w:rFonts w:hint="eastAsia" w:ascii="楷体_GB2312" w:hAnsi="楷体_GB2312" w:eastAsia="楷体_GB2312" w:cs="楷体_GB2312"/>
          <w:b w:val="0"/>
          <w:bCs/>
          <w:color w:val="000000"/>
          <w:szCs w:val="32"/>
        </w:rPr>
        <w:t>提升各种运输方式一体化水平</w:t>
      </w:r>
      <w:bookmarkEnd w:id="47"/>
    </w:p>
    <w:p>
      <w:pPr>
        <w:tabs>
          <w:tab w:val="left" w:pos="780"/>
        </w:tabs>
        <w:spacing w:line="560" w:lineRule="exact"/>
        <w:ind w:firstLine="618" w:firstLineChars="200"/>
        <w:jc w:val="both"/>
        <w:rPr>
          <w:rFonts w:hint="eastAsia" w:ascii="宋体" w:hAnsi="宋体" w:eastAsia="仿宋_GB2312" w:cs="仿宋_GB2312"/>
          <w:bCs/>
          <w:sz w:val="32"/>
          <w:szCs w:val="32"/>
        </w:rPr>
      </w:pPr>
      <w:r>
        <w:rPr>
          <w:rFonts w:hint="eastAsia" w:ascii="宋体" w:hAnsi="宋体" w:eastAsia="仿宋_GB2312" w:cs="仿宋_GB2312"/>
          <w:bCs/>
          <w:sz w:val="32"/>
          <w:szCs w:val="32"/>
        </w:rPr>
        <w:t>统筹综合交通通道规划建设。以“通道集约、线位优化、线路共享、立体发展”为主要手段，充分发挥通道综合效能。强化通道线位、岸线、土地、空域等资源节约集约利用，统筹主要通道内各种运输方式规划建设协同，合理保护和预留通道内发展线位资源，提高国土空间利用效率。用好用足既有交通通道，统筹线位布置，整合断面空间。加强综合交通通道与通信、能源、水利等基础设施统筹，提高通道资源利用效率。</w:t>
      </w:r>
    </w:p>
    <w:p>
      <w:pPr>
        <w:tabs>
          <w:tab w:val="left" w:pos="780"/>
        </w:tabs>
        <w:spacing w:line="560" w:lineRule="exact"/>
        <w:ind w:firstLine="618" w:firstLineChars="200"/>
        <w:jc w:val="both"/>
        <w:rPr>
          <w:rFonts w:hint="eastAsia" w:ascii="仿宋_GB2312" w:hAnsi="宋体" w:eastAsia="仿宋_GB2312" w:cs="仿宋_GB2312"/>
          <w:bCs/>
          <w:sz w:val="32"/>
          <w:szCs w:val="32"/>
        </w:rPr>
      </w:pPr>
      <w:r>
        <w:rPr>
          <w:rFonts w:hint="eastAsia" w:ascii="仿宋_GB2312" w:hAnsi="宋体" w:eastAsia="仿宋_GB2312" w:cs="仿宋_GB2312"/>
          <w:bCs/>
          <w:sz w:val="32"/>
          <w:szCs w:val="32"/>
        </w:rPr>
        <w:t>推进综合交通枢纽一体化发展。推进综合交通枢纽及邮政快递枢纽统一规划、统一设计、统一建设和协同管理。新建综合客运枢纽实现各种运输方式集中布局，推动整合既有综合客运枢纽内交通设施、共享服务功能空间。统筹转运、口岸、保税、邮政快递等功能，提升多式联运效率与物流综合服务水平。</w:t>
      </w:r>
    </w:p>
    <w:p>
      <w:pPr>
        <w:tabs>
          <w:tab w:val="left" w:pos="780"/>
        </w:tabs>
        <w:spacing w:line="560" w:lineRule="exact"/>
        <w:ind w:firstLine="618" w:firstLineChars="200"/>
        <w:jc w:val="both"/>
        <w:rPr>
          <w:rFonts w:hint="eastAsia" w:ascii="仿宋_GB2312" w:hAnsi="宋体" w:eastAsia="仿宋_GB2312" w:cs="仿宋_GB2312"/>
          <w:bCs/>
          <w:sz w:val="32"/>
          <w:szCs w:val="32"/>
        </w:rPr>
      </w:pPr>
      <w:r>
        <w:rPr>
          <w:rFonts w:hint="eastAsia" w:ascii="仿宋_GB2312" w:hAnsi="宋体" w:eastAsia="仿宋_GB2312" w:cs="仿宋_GB2312"/>
          <w:bCs/>
          <w:sz w:val="32"/>
          <w:szCs w:val="32"/>
        </w:rPr>
        <w:t>推动城市内外交通协同发展。推动高速铁路、市域(郊）铁路、城市公共交通的融合建设，建立运营管理和服务“一张网”，推动设施联运、信息开放共享、联网售票、安检互认等。加强城际干线运输与城市末端配送有机衔接。加强铁路、公路客运枢纽及机场与城市公交网络系统有机整合。</w:t>
      </w:r>
    </w:p>
    <w:p>
      <w:pPr>
        <w:pStyle w:val="6"/>
        <w:keepNext w:val="0"/>
        <w:keepLines w:val="0"/>
        <w:spacing w:before="0" w:after="0" w:line="560" w:lineRule="exact"/>
        <w:ind w:firstLine="618" w:firstLineChars="200"/>
        <w:jc w:val="both"/>
        <w:rPr>
          <w:rFonts w:hint="eastAsia" w:ascii="楷体_GB2312" w:hAnsi="楷体_GB2312" w:eastAsia="楷体_GB2312" w:cs="楷体_GB2312"/>
          <w:b w:val="0"/>
          <w:bCs/>
          <w:color w:val="000000"/>
          <w:szCs w:val="32"/>
        </w:rPr>
      </w:pPr>
      <w:bookmarkStart w:id="48" w:name="_Toc91265264"/>
      <w:bookmarkStart w:id="49" w:name="_Toc151387984"/>
      <w:r>
        <w:rPr>
          <w:rFonts w:hint="eastAsia" w:ascii="楷体_GB2312" w:hAnsi="楷体_GB2312" w:eastAsia="楷体_GB2312" w:cs="楷体_GB2312"/>
          <w:b w:val="0"/>
          <w:bCs/>
          <w:color w:val="000000"/>
          <w:szCs w:val="32"/>
        </w:rPr>
        <w:t>（二）</w:t>
      </w:r>
      <w:bookmarkEnd w:id="48"/>
      <w:r>
        <w:rPr>
          <w:rFonts w:hint="eastAsia" w:ascii="楷体_GB2312" w:hAnsi="楷体_GB2312" w:eastAsia="楷体_GB2312" w:cs="楷体_GB2312"/>
          <w:b w:val="0"/>
          <w:bCs/>
          <w:color w:val="000000"/>
          <w:szCs w:val="32"/>
        </w:rPr>
        <w:t>推进交通基础设施多元融合发展</w:t>
      </w:r>
      <w:bookmarkEnd w:id="49"/>
    </w:p>
    <w:p>
      <w:pPr>
        <w:tabs>
          <w:tab w:val="left" w:pos="780"/>
        </w:tabs>
        <w:spacing w:line="560" w:lineRule="exact"/>
        <w:ind w:firstLine="618" w:firstLineChars="200"/>
        <w:jc w:val="both"/>
        <w:rPr>
          <w:rFonts w:hint="eastAsia" w:ascii="宋体" w:hAnsi="宋体" w:eastAsia="仿宋_GB2312" w:cs="仿宋_GB2312"/>
          <w:bCs/>
          <w:sz w:val="32"/>
          <w:szCs w:val="32"/>
        </w:rPr>
      </w:pPr>
      <w:r>
        <w:rPr>
          <w:rFonts w:hint="eastAsia" w:ascii="宋体" w:hAnsi="宋体" w:eastAsia="仿宋_GB2312" w:cs="仿宋_GB2312"/>
          <w:bCs/>
          <w:sz w:val="32"/>
          <w:szCs w:val="32"/>
        </w:rPr>
        <w:t>推进交通基础设施网与运输服务网融合发展。推进基础设施、装备、标准、信息与管理有机衔接，提高交通运输网动态运行管理服务智能化水平，打造以全链条快速化为导向的便捷运输服务网，构建空中、水上、地面融合协同的多式联运网络，完善供应链服务体系。</w:t>
      </w:r>
    </w:p>
    <w:p>
      <w:pPr>
        <w:tabs>
          <w:tab w:val="left" w:pos="780"/>
        </w:tabs>
        <w:spacing w:line="560" w:lineRule="exact"/>
        <w:ind w:firstLine="618" w:firstLineChars="200"/>
        <w:jc w:val="both"/>
        <w:rPr>
          <w:rFonts w:hint="eastAsia" w:ascii="宋体" w:hAnsi="宋体" w:eastAsia="仿宋_GB2312" w:cs="仿宋_GB2312"/>
          <w:bCs/>
          <w:sz w:val="32"/>
          <w:szCs w:val="32"/>
        </w:rPr>
      </w:pPr>
      <w:r>
        <w:rPr>
          <w:rFonts w:hint="eastAsia" w:ascii="宋体" w:hAnsi="宋体" w:eastAsia="仿宋_GB2312" w:cs="仿宋_GB2312"/>
          <w:bCs/>
          <w:sz w:val="32"/>
          <w:szCs w:val="32"/>
        </w:rPr>
        <w:t>推进交通基础设施网与信息网融合发展。加强交通基础设施与信息基础设施统筹布局、协同建设。推动车联网部署和应用，强化与新型基础设施建设统筹，推进传统交通基础设施智能化升级。</w:t>
      </w:r>
    </w:p>
    <w:p>
      <w:pPr>
        <w:tabs>
          <w:tab w:val="left" w:pos="780"/>
        </w:tabs>
        <w:spacing w:line="560" w:lineRule="exact"/>
        <w:ind w:firstLine="618" w:firstLineChars="200"/>
        <w:jc w:val="both"/>
        <w:rPr>
          <w:rFonts w:ascii="宋体" w:hAnsi="宋体" w:eastAsia="仿宋_GB2312" w:cs="仿宋_GB2312"/>
          <w:bCs/>
          <w:sz w:val="32"/>
          <w:szCs w:val="32"/>
        </w:rPr>
      </w:pPr>
      <w:r>
        <w:rPr>
          <w:rFonts w:hint="eastAsia" w:ascii="宋体" w:hAnsi="宋体" w:eastAsia="仿宋_GB2312" w:cs="仿宋_GB2312"/>
          <w:bCs/>
          <w:sz w:val="32"/>
          <w:szCs w:val="32"/>
        </w:rPr>
        <w:t>推进交通基础设施网与能源网融合发展。推进综合立体交通网与能源设施网统筹布局规划建设，充分考虑煤炭、油气、电力等各种能源输送特点，强化交通与能源基础设施共建共享，提高设施利用效率，减少能源资源消耗。促进交通基础设施网与适应新能源发展的智能电网融合发展。</w:t>
      </w:r>
    </w:p>
    <w:p>
      <w:pPr>
        <w:pStyle w:val="6"/>
        <w:keepNext w:val="0"/>
        <w:keepLines w:val="0"/>
        <w:spacing w:before="0" w:after="0" w:line="560" w:lineRule="exact"/>
        <w:ind w:firstLine="618" w:firstLineChars="200"/>
        <w:jc w:val="both"/>
        <w:rPr>
          <w:rFonts w:hint="eastAsia" w:ascii="楷体_GB2312" w:hAnsi="楷体_GB2312" w:eastAsia="楷体_GB2312" w:cs="楷体_GB2312"/>
          <w:b w:val="0"/>
          <w:bCs/>
          <w:color w:val="000000"/>
          <w:szCs w:val="32"/>
        </w:rPr>
      </w:pPr>
      <w:bookmarkStart w:id="50" w:name="_Toc91265265"/>
      <w:bookmarkStart w:id="51" w:name="_Toc151387985"/>
      <w:r>
        <w:rPr>
          <w:rFonts w:hint="eastAsia" w:ascii="楷体_GB2312" w:hAnsi="楷体_GB2312" w:eastAsia="楷体_GB2312" w:cs="楷体_GB2312"/>
          <w:b w:val="0"/>
          <w:bCs/>
          <w:color w:val="000000"/>
          <w:szCs w:val="32"/>
        </w:rPr>
        <w:t>（三）</w:t>
      </w:r>
      <w:bookmarkEnd w:id="50"/>
      <w:r>
        <w:rPr>
          <w:rFonts w:hint="eastAsia" w:ascii="楷体_GB2312" w:hAnsi="楷体_GB2312" w:eastAsia="楷体_GB2312" w:cs="楷体_GB2312"/>
          <w:b w:val="0"/>
          <w:bCs/>
          <w:color w:val="000000"/>
          <w:szCs w:val="32"/>
        </w:rPr>
        <w:t>促进区域交通协调发展</w:t>
      </w:r>
      <w:bookmarkEnd w:id="51"/>
    </w:p>
    <w:p>
      <w:pPr>
        <w:snapToGrid w:val="0"/>
        <w:spacing w:line="560" w:lineRule="exact"/>
        <w:ind w:firstLine="618" w:firstLineChars="200"/>
        <w:jc w:val="both"/>
        <w:rPr>
          <w:rFonts w:hint="eastAsia" w:ascii="仿宋_GB2312" w:hAnsi="宋体" w:eastAsia="仿宋_GB2312" w:cs="仿宋_GB2312"/>
          <w:bCs/>
          <w:sz w:val="32"/>
          <w:szCs w:val="32"/>
        </w:rPr>
      </w:pPr>
      <w:bookmarkStart w:id="52" w:name="_Hlk82873081"/>
      <w:r>
        <w:rPr>
          <w:rFonts w:hint="eastAsia" w:ascii="仿宋_GB2312" w:hAnsi="宋体" w:eastAsia="仿宋_GB2312" w:cs="仿宋_GB2312"/>
          <w:bCs/>
          <w:sz w:val="32"/>
          <w:szCs w:val="32"/>
        </w:rPr>
        <w:t>推进赣州都市区交通运输一体化发展。以干线铁路、城际铁路、市域(郊)铁路、城市轨道交通、快速公路网等为支撑，打造赣州都市区“1小时出行交通圈”[赣州市中心城区城市交通1小时通勤，核心区至毗邻县（市）城乡交通1小时通达，核心区至边远县（市）和边远县（市)之间城际交通1小时通达]。推动城市道路网结构优化，形成级配合理、接入顺畅的路网系统。支持有条件的县（市、区）探索建立区域交通与城市交通一体化管理模式。深入实施公交优先发展战略，构建以常规公交为主体的城市公共交通系统，提高城市绿色出行比例。</w:t>
      </w:r>
    </w:p>
    <w:p>
      <w:pPr>
        <w:snapToGrid w:val="0"/>
        <w:spacing w:line="560" w:lineRule="exact"/>
        <w:ind w:firstLine="618" w:firstLineChars="200"/>
        <w:jc w:val="both"/>
        <w:rPr>
          <w:rFonts w:hint="eastAsia" w:ascii="仿宋_GB2312" w:hAnsi="宋体" w:eastAsia="仿宋_GB2312" w:cs="仿宋_GB2312"/>
          <w:bCs/>
          <w:sz w:val="32"/>
          <w:szCs w:val="32"/>
        </w:rPr>
      </w:pPr>
      <w:r>
        <w:rPr>
          <w:rFonts w:hint="eastAsia" w:ascii="仿宋_GB2312" w:hAnsi="宋体" w:eastAsia="仿宋_GB2312" w:cs="仿宋_GB2312"/>
          <w:bCs/>
          <w:sz w:val="32"/>
          <w:szCs w:val="32"/>
        </w:rPr>
        <w:t>推进城乡交通运输一体化发展。推进城乡交通基础设施一体化规划、建设、管护，提升高速公路对乡镇的辐射带动能力，高质量推进“四好农村路”建设，提高城乡交通运输公共服务均等化水平。</w:t>
      </w:r>
    </w:p>
    <w:p>
      <w:pPr>
        <w:pStyle w:val="6"/>
        <w:keepNext w:val="0"/>
        <w:keepLines w:val="0"/>
        <w:spacing w:before="0" w:after="0" w:line="560" w:lineRule="exact"/>
        <w:ind w:firstLine="618" w:firstLineChars="200"/>
        <w:jc w:val="both"/>
        <w:rPr>
          <w:rFonts w:hint="eastAsia" w:ascii="楷体_GB2312" w:hAnsi="楷体_GB2312" w:eastAsia="楷体_GB2312" w:cs="楷体_GB2312"/>
          <w:b w:val="0"/>
          <w:bCs/>
          <w:color w:val="000000"/>
          <w:szCs w:val="32"/>
        </w:rPr>
      </w:pPr>
      <w:bookmarkStart w:id="53" w:name="_Toc151387986"/>
      <w:r>
        <w:rPr>
          <w:rFonts w:hint="eastAsia" w:ascii="楷体_GB2312" w:hAnsi="楷体_GB2312" w:eastAsia="楷体_GB2312" w:cs="楷体_GB2312"/>
          <w:b w:val="0"/>
          <w:bCs/>
          <w:color w:val="000000"/>
          <w:szCs w:val="32"/>
        </w:rPr>
        <w:t>（四）推进交通与相关产业深度融合</w:t>
      </w:r>
      <w:bookmarkEnd w:id="53"/>
    </w:p>
    <w:p>
      <w:pPr>
        <w:snapToGrid w:val="0"/>
        <w:spacing w:line="560" w:lineRule="exact"/>
        <w:ind w:firstLine="618" w:firstLineChars="200"/>
        <w:jc w:val="both"/>
        <w:rPr>
          <w:rFonts w:hint="eastAsia" w:ascii="仿宋_GB2312" w:hAnsi="宋体" w:eastAsia="仿宋_GB2312" w:cs="仿宋_GB2312"/>
          <w:bCs/>
          <w:sz w:val="32"/>
          <w:szCs w:val="32"/>
        </w:rPr>
      </w:pPr>
      <w:r>
        <w:rPr>
          <w:rFonts w:hint="eastAsia" w:ascii="仿宋_GB2312" w:hAnsi="宋体" w:eastAsia="仿宋_GB2312" w:cs="仿宋_GB2312"/>
          <w:bCs/>
          <w:sz w:val="32"/>
          <w:szCs w:val="32"/>
        </w:rPr>
        <w:t>推进交通与旅游产业深度融合。充分发挥交通促进全域旅游的基础性作用，加强交通干线与重要旅游景区（点)衔接。健全重点旅游景区交通集散体系，完善机场、火车站、公路沿线、客运枢纽、游轮游艇码头等旅游服务设施功能，支持红色旅游、乡村旅游、自驾游等相关交通基础设施建设，推进通用航空与旅游融合发展。鼓励发展定制化旅游运输服务，形成交通带动旅游、旅游促进交通发展的良性互动格局。</w:t>
      </w:r>
    </w:p>
    <w:p>
      <w:pPr>
        <w:snapToGrid w:val="0"/>
        <w:spacing w:line="560" w:lineRule="exact"/>
        <w:ind w:firstLine="618" w:firstLineChars="200"/>
        <w:jc w:val="both"/>
        <w:rPr>
          <w:rFonts w:hint="eastAsia" w:ascii="仿宋_GB2312" w:hAnsi="宋体" w:eastAsia="仿宋_GB2312" w:cs="仿宋_GB2312"/>
          <w:bCs/>
          <w:sz w:val="32"/>
          <w:szCs w:val="32"/>
        </w:rPr>
      </w:pPr>
      <w:r>
        <w:rPr>
          <w:rFonts w:hint="eastAsia" w:ascii="仿宋_GB2312" w:hAnsi="宋体" w:eastAsia="仿宋_GB2312" w:cs="仿宋_GB2312"/>
          <w:bCs/>
          <w:sz w:val="32"/>
          <w:szCs w:val="32"/>
        </w:rPr>
        <w:t>推进交通与邮政快递融合衔接。推动在铁路、机场、汽车站等交通场站建设邮政快递专用处理场所、运输通道、装卸设施，提高中转效率。推动不同运输方式之间邮件快件在装卸标准、运单数据等方面有效衔接、信息共享。发展航空快递、高铁快递，推动邮件快件多式联运。推进乡村邮政快递网点、乡镇综合服务站、汽车站、城乡公交站点等设施资源整合共享。</w:t>
      </w:r>
    </w:p>
    <w:p>
      <w:pPr>
        <w:snapToGrid w:val="0"/>
        <w:spacing w:line="560" w:lineRule="exact"/>
        <w:ind w:firstLine="618" w:firstLineChars="200"/>
        <w:jc w:val="both"/>
        <w:rPr>
          <w:rFonts w:hint="eastAsia" w:ascii="仿宋_GB2312" w:hAnsi="宋体" w:eastAsia="仿宋_GB2312" w:cs="仿宋_GB2312"/>
          <w:bCs/>
          <w:sz w:val="32"/>
          <w:szCs w:val="32"/>
        </w:rPr>
      </w:pPr>
      <w:r>
        <w:rPr>
          <w:rFonts w:hint="eastAsia" w:ascii="仿宋_GB2312" w:hAnsi="宋体" w:eastAsia="仿宋_GB2312" w:cs="仿宋_GB2312"/>
          <w:bCs/>
          <w:sz w:val="32"/>
          <w:szCs w:val="32"/>
        </w:rPr>
        <w:t>推进交通与现代物流深度融合。优化市内物流通道和枢纽布局,加强赣州国际陆港全国性物流枢纽建设,畅通物流通道与城市配送网络交通线网连接，提高干支衔接能力和转运分拨效率。加快发展集装箱多式联运，发展壮大赣欧班列。发展高铁快运，规划建设高铁快运设施，提升铁路货运比例。加快航空物流发展，加强赣州黄金机场航空货运能力建设。培育壮大一批具有全国竞争力的现代物流企业。</w:t>
      </w:r>
    </w:p>
    <w:p>
      <w:pPr>
        <w:snapToGrid w:val="0"/>
        <w:spacing w:line="560" w:lineRule="exact"/>
        <w:ind w:firstLine="618" w:firstLineChars="200"/>
        <w:jc w:val="both"/>
        <w:rPr>
          <w:rFonts w:ascii="宋体" w:hAnsi="宋体" w:eastAsia="仿宋_GB2312" w:cs="仿宋_GB2312"/>
          <w:bCs/>
          <w:sz w:val="32"/>
          <w:szCs w:val="32"/>
        </w:rPr>
      </w:pPr>
      <w:r>
        <w:rPr>
          <w:rFonts w:hint="eastAsia" w:ascii="仿宋_GB2312" w:hAnsi="宋体" w:eastAsia="仿宋_GB2312" w:cs="仿宋_GB2312"/>
          <w:bCs/>
          <w:sz w:val="32"/>
          <w:szCs w:val="32"/>
        </w:rPr>
        <w:t>推进交通与装备制造等相关产业深度融合。加强交通运输与现代农业、生产制造、商贸金融等跨行业合作。强化交通运输与现代装备制造业的相互支撑，重点壮大新能源制造产业，探索发展轨道装备制造产业，加快红轨建设运营示范线及相关标准体系建设。围绕建设赣州民用无人驾驶航空试验区、赣州低空经济产业园，创新开展低空空域管理改革试点，加快推动低空产业快速发展，形成赣州高质量发展新的增长极。</w:t>
      </w:r>
    </w:p>
    <w:bookmarkEnd w:id="52"/>
    <w:p>
      <w:pPr>
        <w:pStyle w:val="5"/>
        <w:keepNext w:val="0"/>
        <w:keepLines w:val="0"/>
        <w:pageBreakBefore w:val="0"/>
        <w:widowControl/>
        <w:kinsoku w:val="0"/>
        <w:wordWrap/>
        <w:overflowPunct/>
        <w:topLinePunct w:val="0"/>
        <w:autoSpaceDE w:val="0"/>
        <w:autoSpaceDN w:val="0"/>
        <w:bidi w:val="0"/>
        <w:adjustRightInd w:val="0"/>
        <w:snapToGrid w:val="0"/>
        <w:spacing w:beforeAutospacing="0" w:afterAutospacing="0" w:line="560" w:lineRule="exact"/>
        <w:ind w:firstLine="618" w:firstLineChars="200"/>
        <w:jc w:val="both"/>
        <w:textAlignment w:val="baseline"/>
        <w:rPr>
          <w:rFonts w:hint="eastAsia" w:eastAsia="黑体" w:cs="黑体"/>
          <w:b w:val="0"/>
          <w:bCs w:val="0"/>
          <w:color w:val="000000"/>
          <w:sz w:val="32"/>
          <w:szCs w:val="32"/>
        </w:rPr>
      </w:pPr>
      <w:bookmarkStart w:id="54" w:name="_Toc91265266"/>
      <w:bookmarkStart w:id="55" w:name="_Toc151387987"/>
      <w:r>
        <w:rPr>
          <w:rFonts w:hint="eastAsia" w:eastAsia="黑体" w:cs="黑体"/>
          <w:b w:val="0"/>
          <w:bCs w:val="0"/>
          <w:color w:val="000000"/>
          <w:sz w:val="32"/>
          <w:szCs w:val="32"/>
        </w:rPr>
        <w:t>六、</w:t>
      </w:r>
      <w:bookmarkEnd w:id="54"/>
      <w:r>
        <w:rPr>
          <w:rFonts w:hint="eastAsia" w:eastAsia="黑体" w:cs="黑体"/>
          <w:b w:val="0"/>
          <w:bCs w:val="0"/>
          <w:color w:val="000000"/>
          <w:sz w:val="32"/>
          <w:szCs w:val="32"/>
        </w:rPr>
        <w:t>推进综合交通高质量发展</w:t>
      </w:r>
      <w:bookmarkEnd w:id="55"/>
    </w:p>
    <w:p>
      <w:pPr>
        <w:pStyle w:val="6"/>
        <w:keepNext w:val="0"/>
        <w:keepLines w:val="0"/>
        <w:spacing w:before="0" w:after="0" w:line="560" w:lineRule="exact"/>
        <w:ind w:firstLine="618" w:firstLineChars="200"/>
        <w:jc w:val="both"/>
        <w:rPr>
          <w:rFonts w:hint="eastAsia" w:ascii="楷体_GB2312" w:hAnsi="楷体_GB2312" w:eastAsia="楷体_GB2312" w:cs="楷体_GB2312"/>
          <w:b w:val="0"/>
          <w:bCs/>
          <w:color w:val="000000"/>
          <w:szCs w:val="32"/>
        </w:rPr>
      </w:pPr>
      <w:bookmarkStart w:id="56" w:name="_Toc91265267"/>
      <w:bookmarkStart w:id="57" w:name="_Toc151387988"/>
      <w:r>
        <w:rPr>
          <w:rFonts w:hint="eastAsia" w:ascii="楷体_GB2312" w:hAnsi="楷体_GB2312" w:eastAsia="楷体_GB2312" w:cs="楷体_GB2312"/>
          <w:b w:val="0"/>
          <w:bCs/>
          <w:color w:val="000000"/>
          <w:szCs w:val="32"/>
        </w:rPr>
        <w:t>（一）</w:t>
      </w:r>
      <w:bookmarkEnd w:id="56"/>
      <w:r>
        <w:rPr>
          <w:rFonts w:hint="eastAsia" w:ascii="楷体_GB2312" w:hAnsi="楷体_GB2312" w:eastAsia="楷体_GB2312" w:cs="楷体_GB2312"/>
          <w:b w:val="0"/>
          <w:bCs/>
          <w:color w:val="000000"/>
          <w:szCs w:val="32"/>
        </w:rPr>
        <w:t>推进安全发展</w:t>
      </w:r>
      <w:bookmarkEnd w:id="57"/>
    </w:p>
    <w:p>
      <w:pPr>
        <w:spacing w:line="560" w:lineRule="exact"/>
        <w:ind w:firstLine="618" w:firstLineChars="200"/>
        <w:jc w:val="both"/>
        <w:rPr>
          <w:rFonts w:hint="eastAsia" w:ascii="仿宋_GB2312" w:hAnsi="宋体" w:eastAsia="仿宋_GB2312" w:cs="仿宋_GB2312"/>
          <w:bCs/>
          <w:sz w:val="32"/>
          <w:szCs w:val="32"/>
        </w:rPr>
      </w:pPr>
      <w:r>
        <w:rPr>
          <w:rFonts w:hint="eastAsia" w:ascii="仿宋_GB2312" w:hAnsi="宋体" w:eastAsia="仿宋_GB2312" w:cs="仿宋_GB2312"/>
          <w:bCs/>
          <w:sz w:val="32"/>
          <w:szCs w:val="32"/>
        </w:rPr>
        <w:t>提升安全保障能力。加快推进城市间、重点地区、自然灾害多发地区多通道、多方式、多路径建设，提升交通网络系统韧性和安全性。加强交通运输安全风险预警、防控机制和能力建设。健全交通安全监管体系、水上搜寻救助</w:t>
      </w:r>
      <w:r>
        <w:rPr>
          <w:rFonts w:hint="eastAsia" w:ascii="仿宋_GB2312" w:hAnsi="宋体" w:eastAsia="仿宋_GB2312" w:cs="仿宋_GB2312"/>
          <w:bCs/>
          <w:sz w:val="32"/>
          <w:szCs w:val="32"/>
          <w:lang w:val="en-US" w:eastAsia="zh-CN"/>
        </w:rPr>
        <w:t>体系</w:t>
      </w:r>
      <w:r>
        <w:rPr>
          <w:rFonts w:hint="eastAsia" w:ascii="仿宋_GB2312" w:hAnsi="宋体" w:eastAsia="仿宋_GB2312" w:cs="仿宋_GB2312"/>
          <w:bCs/>
          <w:sz w:val="32"/>
          <w:szCs w:val="32"/>
        </w:rPr>
        <w:t>和关键信息基础设施安全保护体系，提升交通应急救援能力和信息系统安全防护水平。提升交通运输装备安全水平。健全安全宣传教育体系，强化全民安全意识和法治意识。</w:t>
      </w:r>
    </w:p>
    <w:p>
      <w:pPr>
        <w:spacing w:line="560" w:lineRule="exact"/>
        <w:ind w:firstLine="618" w:firstLineChars="200"/>
        <w:jc w:val="both"/>
        <w:rPr>
          <w:rFonts w:hint="eastAsia" w:ascii="仿宋_GB2312" w:hAnsi="宋体" w:eastAsia="仿宋_GB2312" w:cs="仿宋_GB2312"/>
          <w:bCs/>
          <w:sz w:val="32"/>
          <w:szCs w:val="32"/>
        </w:rPr>
      </w:pPr>
      <w:r>
        <w:rPr>
          <w:rFonts w:hint="eastAsia" w:ascii="仿宋_GB2312" w:hAnsi="宋体" w:eastAsia="仿宋_GB2312" w:cs="仿宋_GB2312"/>
          <w:bCs/>
          <w:sz w:val="32"/>
          <w:szCs w:val="32"/>
        </w:rPr>
        <w:t>提高交通基础设施安全水平。建立完善现代化工程建设和运行质量全寿命周期安全管理体系，强化重点交通基础设施建设项目安全管理，打造平安百年品质工程。强化预防性养护维护、安全评估，加大病害治理力度，强化重点路段安全治理，全面改善交通基础设施安全水平。</w:t>
      </w:r>
    </w:p>
    <w:p>
      <w:pPr>
        <w:spacing w:line="560" w:lineRule="exact"/>
        <w:ind w:firstLine="618" w:firstLineChars="200"/>
        <w:jc w:val="both"/>
        <w:rPr>
          <w:rFonts w:ascii="宋体" w:hAnsi="宋体" w:eastAsia="仿宋_GB2312" w:cs="仿宋_GB2312"/>
          <w:bCs/>
          <w:sz w:val="32"/>
          <w:szCs w:val="32"/>
        </w:rPr>
      </w:pPr>
      <w:r>
        <w:rPr>
          <w:rFonts w:hint="eastAsia" w:ascii="仿宋_GB2312" w:hAnsi="宋体" w:eastAsia="仿宋_GB2312" w:cs="仿宋_GB2312"/>
          <w:bCs/>
          <w:sz w:val="32"/>
          <w:szCs w:val="32"/>
        </w:rPr>
        <w:t>完善交通运输应急保障体系。完善科学协调的综合交通应急运输保障预案体系，构建综合交通应急运输网络，建设多层级的综合运输应急装备物资和运力储备体系。科学规划布局交通应急救援基地，加强配套设施建设，提高设施快速修复能力和应对突发事件能力。建立健全行业系统安全风险和重点安全风险监测防控体系，强化危险货物运输全过程、全网络监测预警。</w:t>
      </w:r>
    </w:p>
    <w:p>
      <w:pPr>
        <w:pStyle w:val="6"/>
        <w:keepNext w:val="0"/>
        <w:keepLines w:val="0"/>
        <w:spacing w:before="0" w:after="0" w:line="560" w:lineRule="exact"/>
        <w:ind w:firstLine="618" w:firstLineChars="200"/>
        <w:jc w:val="both"/>
        <w:rPr>
          <w:rFonts w:hint="eastAsia" w:ascii="楷体_GB2312" w:hAnsi="楷体_GB2312" w:eastAsia="楷体_GB2312" w:cs="楷体_GB2312"/>
          <w:b w:val="0"/>
          <w:bCs/>
          <w:color w:val="000000"/>
          <w:szCs w:val="32"/>
        </w:rPr>
      </w:pPr>
      <w:bookmarkStart w:id="58" w:name="_Toc91265268"/>
      <w:bookmarkStart w:id="59" w:name="_Toc151387989"/>
      <w:r>
        <w:rPr>
          <w:rFonts w:hint="eastAsia" w:ascii="楷体_GB2312" w:hAnsi="楷体_GB2312" w:eastAsia="楷体_GB2312" w:cs="楷体_GB2312"/>
          <w:b w:val="0"/>
          <w:bCs/>
          <w:color w:val="000000"/>
          <w:szCs w:val="32"/>
        </w:rPr>
        <w:t>（二）</w:t>
      </w:r>
      <w:bookmarkEnd w:id="58"/>
      <w:r>
        <w:rPr>
          <w:rFonts w:hint="eastAsia" w:ascii="楷体_GB2312" w:hAnsi="楷体_GB2312" w:eastAsia="楷体_GB2312" w:cs="楷体_GB2312"/>
          <w:b w:val="0"/>
          <w:bCs/>
          <w:color w:val="000000"/>
          <w:szCs w:val="32"/>
        </w:rPr>
        <w:t>推进智慧发展</w:t>
      </w:r>
      <w:bookmarkEnd w:id="59"/>
    </w:p>
    <w:p>
      <w:pPr>
        <w:spacing w:line="560" w:lineRule="exact"/>
        <w:ind w:firstLine="618" w:firstLineChars="200"/>
        <w:jc w:val="both"/>
        <w:rPr>
          <w:rFonts w:hint="eastAsia" w:ascii="仿宋_GB2312" w:hAnsi="宋体" w:eastAsia="仿宋_GB2312" w:cs="仿宋_GB2312"/>
          <w:bCs/>
          <w:sz w:val="32"/>
          <w:szCs w:val="32"/>
        </w:rPr>
      </w:pPr>
      <w:r>
        <w:rPr>
          <w:rFonts w:hint="eastAsia" w:ascii="仿宋_GB2312" w:hAnsi="宋体" w:eastAsia="仿宋_GB2312" w:cs="仿宋_GB2312"/>
          <w:bCs/>
          <w:sz w:val="32"/>
          <w:szCs w:val="32"/>
        </w:rPr>
        <w:t>发展智能化新型交通基础设施和运输装备。加快提升交通运输科技创新能力，推进交通基础设施数字化、网联化。推动大数据、人工智能、区块链、5G、云计算等新技术与交通运输行业深度融合。建设实施一批数字化基础设施工程，推动数据开放共享和创新应用。推动公路路网管理和出行信息服务智能化，完善道路交通监控设备及配套网络，推进普通国省干线公路桥梁健康监测体系建设，提升公路建设监督管理信息化水平。</w:t>
      </w:r>
    </w:p>
    <w:p>
      <w:pPr>
        <w:spacing w:line="560" w:lineRule="exact"/>
        <w:ind w:firstLine="618" w:firstLineChars="200"/>
        <w:jc w:val="both"/>
        <w:rPr>
          <w:rFonts w:hint="eastAsia" w:ascii="仿宋_GB2312" w:hAnsi="宋体" w:eastAsia="仿宋_GB2312" w:cs="仿宋_GB2312"/>
          <w:bCs/>
          <w:sz w:val="32"/>
          <w:szCs w:val="32"/>
        </w:rPr>
      </w:pPr>
      <w:r>
        <w:rPr>
          <w:rFonts w:hint="eastAsia" w:ascii="仿宋_GB2312" w:hAnsi="宋体" w:eastAsia="仿宋_GB2312" w:cs="仿宋_GB2312"/>
          <w:bCs/>
          <w:sz w:val="32"/>
          <w:szCs w:val="32"/>
        </w:rPr>
        <w:t>提升数字化服务水平。推进全程服务数字化，打造衔接顺畅的出行服务链条。推广智能公交、智能停车、智慧安检等应用。打造智慧交通赣州样板，完善中心城区智慧交通指挥系统建设，实现中心城区智慧交通全覆盖。打造一批智慧执法、智慧客运、智慧物流、智慧公路、智慧安监平台，创建赣州智慧交通示范工程。推动货运单证电子化和共享互认。大力发展“互联网＋”高效物流新模式、新业态，着力推进网络货运规范健康发展，提高货运物流组织化水平。</w:t>
      </w:r>
    </w:p>
    <w:p>
      <w:pPr>
        <w:pStyle w:val="6"/>
        <w:keepNext w:val="0"/>
        <w:keepLines w:val="0"/>
        <w:spacing w:before="0" w:after="0" w:line="560" w:lineRule="exact"/>
        <w:ind w:firstLine="618" w:firstLineChars="200"/>
        <w:jc w:val="both"/>
        <w:rPr>
          <w:rFonts w:hint="eastAsia" w:ascii="楷体_GB2312" w:hAnsi="楷体_GB2312" w:eastAsia="楷体_GB2312" w:cs="楷体_GB2312"/>
          <w:b w:val="0"/>
          <w:bCs/>
          <w:color w:val="000000"/>
          <w:szCs w:val="32"/>
          <w:lang w:eastAsia="zh-CN"/>
        </w:rPr>
      </w:pPr>
      <w:bookmarkStart w:id="60" w:name="_Toc91265269"/>
      <w:bookmarkStart w:id="61" w:name="_Toc151387990"/>
      <w:r>
        <w:rPr>
          <w:rFonts w:hint="eastAsia" w:ascii="楷体_GB2312" w:hAnsi="楷体_GB2312" w:eastAsia="楷体_GB2312" w:cs="楷体_GB2312"/>
          <w:b w:val="0"/>
          <w:bCs/>
          <w:color w:val="000000"/>
          <w:szCs w:val="32"/>
        </w:rPr>
        <w:t>（三）</w:t>
      </w:r>
      <w:bookmarkEnd w:id="60"/>
      <w:r>
        <w:rPr>
          <w:rFonts w:hint="eastAsia" w:ascii="楷体_GB2312" w:hAnsi="楷体_GB2312" w:eastAsia="楷体_GB2312" w:cs="楷体_GB2312"/>
          <w:b w:val="0"/>
          <w:bCs/>
          <w:color w:val="000000"/>
          <w:szCs w:val="32"/>
        </w:rPr>
        <w:t>推动绿色低碳</w:t>
      </w:r>
      <w:bookmarkEnd w:id="61"/>
      <w:r>
        <w:rPr>
          <w:rFonts w:hint="eastAsia" w:ascii="楷体_GB2312" w:hAnsi="楷体_GB2312" w:eastAsia="楷体_GB2312" w:cs="楷体_GB2312"/>
          <w:b w:val="0"/>
          <w:bCs/>
          <w:color w:val="000000"/>
          <w:szCs w:val="32"/>
          <w:lang w:val="en-US" w:eastAsia="zh-CN"/>
        </w:rPr>
        <w:t>交通</w:t>
      </w:r>
    </w:p>
    <w:p>
      <w:pPr>
        <w:spacing w:line="560" w:lineRule="exact"/>
        <w:ind w:firstLine="618" w:firstLineChars="200"/>
        <w:jc w:val="both"/>
        <w:rPr>
          <w:rFonts w:ascii="宋体" w:hAnsi="宋体" w:eastAsia="仿宋_GB2312" w:cs="仿宋_GB2312"/>
          <w:bCs/>
          <w:sz w:val="32"/>
          <w:szCs w:val="32"/>
        </w:rPr>
      </w:pPr>
      <w:r>
        <w:rPr>
          <w:rFonts w:hint="eastAsia" w:ascii="宋体" w:hAnsi="宋体" w:eastAsia="仿宋_GB2312" w:cs="仿宋_GB2312"/>
          <w:bCs/>
          <w:sz w:val="32"/>
          <w:szCs w:val="32"/>
        </w:rPr>
        <w:t>推进节能降碳发展。围绕碳达峰、碳中和战略部署，推动交通运输低碳转型。优化运输结构，推进大宗货物和集装箱中长距离运输“公转铁”“公转水”，提升铁路水运货运量比重。推广新能源和新能源汽车，加快老旧船舶更新改造，发展液化天然气动力船舶，促进交通能源动力系统清洁化、低碳化、高效化发展。推动城市公共交通工具和城市物流配送车辆全部实现电动化、新能源化和清洁化。</w:t>
      </w:r>
    </w:p>
    <w:p>
      <w:pPr>
        <w:spacing w:line="560" w:lineRule="exact"/>
        <w:ind w:firstLine="618" w:firstLineChars="200"/>
        <w:jc w:val="both"/>
        <w:rPr>
          <w:rFonts w:hint="eastAsia" w:ascii="宋体" w:hAnsi="宋体" w:eastAsia="仿宋_GB2312" w:cs="仿宋_GB2312"/>
          <w:bCs/>
          <w:sz w:val="32"/>
          <w:szCs w:val="32"/>
        </w:rPr>
      </w:pPr>
      <w:r>
        <w:rPr>
          <w:rFonts w:hint="eastAsia" w:ascii="宋体" w:hAnsi="宋体" w:eastAsia="仿宋_GB2312" w:cs="仿宋_GB2312"/>
          <w:bCs/>
          <w:sz w:val="32"/>
          <w:szCs w:val="32"/>
        </w:rPr>
        <w:t>提高资源利用效率。强化交通基础设施建设规划与国土空间规划有效衔接。统筹综合交通线网布局，节约集约利用土地、岸线、空域资源。推进“四新”技术应用，推进交通资源循环利用，推广工程废旧材料再生利用，推进邮件快件包装绿色化、减量化。逐步构建“集约、高效、绿色、智能”城市绿色货运配送体系，促进物流业降本增效。</w:t>
      </w:r>
    </w:p>
    <w:p>
      <w:pPr>
        <w:spacing w:line="560" w:lineRule="exact"/>
        <w:ind w:firstLine="618" w:firstLineChars="200"/>
        <w:jc w:val="both"/>
        <w:rPr>
          <w:rFonts w:ascii="仿宋_GB2312" w:hAnsi="仿宋_GB2312" w:eastAsia="仿宋_GB2312" w:cs="仿宋_GB2312"/>
          <w:bCs/>
          <w:sz w:val="32"/>
          <w:szCs w:val="32"/>
        </w:rPr>
      </w:pPr>
      <w:r>
        <w:rPr>
          <w:rFonts w:hint="eastAsia" w:ascii="宋体" w:hAnsi="宋体" w:eastAsia="仿宋_GB2312" w:cs="仿宋_GB2312"/>
          <w:bCs/>
          <w:sz w:val="32"/>
          <w:szCs w:val="32"/>
        </w:rPr>
        <w:t>推进生态绿色发展。结合</w:t>
      </w:r>
      <w:r>
        <w:rPr>
          <w:rFonts w:hint="eastAsia" w:ascii="仿宋_GB2312" w:hAnsi="仿宋_GB2312" w:eastAsia="仿宋_GB2312" w:cs="仿宋_GB2312"/>
          <w:bCs/>
          <w:sz w:val="32"/>
          <w:szCs w:val="32"/>
        </w:rPr>
        <w:t>赣南山地森林生态屏障生态安全格局，优化交通基础设施空间布置，提高新建设施土地集约利用水平。实施交通生态修复提升工程，构建生态化交通网络。加大交通污染监测和综合治理力度。推进快递包装绿色化、减量化、可循环。</w:t>
      </w:r>
    </w:p>
    <w:p>
      <w:pPr>
        <w:spacing w:line="560" w:lineRule="exact"/>
        <w:ind w:firstLine="618" w:firstLineChars="200"/>
        <w:jc w:val="both"/>
        <w:rPr>
          <w:rFonts w:hint="eastAsia" w:ascii="宋体" w:hAnsi="宋体" w:eastAsia="仿宋_GB2312" w:cs="仿宋_GB2312"/>
          <w:bCs/>
          <w:sz w:val="32"/>
          <w:szCs w:val="32"/>
        </w:rPr>
      </w:pPr>
      <w:r>
        <w:rPr>
          <w:rFonts w:hint="eastAsia" w:ascii="仿宋_GB2312" w:hAnsi="仿宋_GB2312" w:eastAsia="仿宋_GB2312" w:cs="仿宋_GB2312"/>
          <w:bCs/>
          <w:sz w:val="32"/>
          <w:szCs w:val="32"/>
        </w:rPr>
        <w:t>强化交通生态环境保护修复。全面推进交通运输与生态环境协调发展，严格实施生态恢复、地质环境治理恢复、土地复垦和交通沿线废弃矿山生态修复。强化生态环保设计，避让水源保护区、自然保护区、一级保护林、公益林和天保林等具有重要生态功能的国土空间。</w:t>
      </w:r>
    </w:p>
    <w:p>
      <w:pPr>
        <w:spacing w:line="560" w:lineRule="exact"/>
        <w:ind w:firstLine="618" w:firstLineChars="200"/>
        <w:jc w:val="both"/>
        <w:rPr>
          <w:rFonts w:hint="default" w:ascii="楷体_GB2312" w:hAnsi="楷体_GB2312" w:eastAsia="楷体_GB2312" w:cs="楷体_GB2312"/>
          <w:b w:val="0"/>
          <w:bCs/>
          <w:snapToGrid w:val="0"/>
          <w:color w:val="000000"/>
          <w:sz w:val="32"/>
          <w:szCs w:val="32"/>
          <w:lang w:val="en-US" w:eastAsia="zh-CN" w:bidi="ar-SA"/>
        </w:rPr>
      </w:pPr>
      <w:r>
        <w:rPr>
          <w:rFonts w:hint="eastAsia" w:ascii="楷体_GB2312" w:hAnsi="楷体_GB2312" w:eastAsia="楷体_GB2312" w:cs="楷体_GB2312"/>
          <w:b w:val="0"/>
          <w:bCs/>
          <w:snapToGrid w:val="0"/>
          <w:color w:val="000000"/>
          <w:sz w:val="32"/>
          <w:szCs w:val="32"/>
          <w:lang w:val="en-US" w:eastAsia="zh-CN" w:bidi="ar-SA"/>
        </w:rPr>
        <w:t>（四）推进人文交通建设</w:t>
      </w:r>
    </w:p>
    <w:p>
      <w:pPr>
        <w:spacing w:line="560" w:lineRule="exact"/>
        <w:ind w:firstLine="618" w:firstLineChars="200"/>
        <w:jc w:val="both"/>
        <w:rPr>
          <w:rFonts w:ascii="宋体" w:hAnsi="宋体" w:eastAsia="仿宋_GB2312" w:cs="仿宋_GB2312"/>
          <w:bCs/>
          <w:sz w:val="32"/>
          <w:szCs w:val="32"/>
        </w:rPr>
      </w:pPr>
      <w:r>
        <w:rPr>
          <w:rFonts w:hint="eastAsia" w:ascii="宋体" w:hAnsi="宋体" w:eastAsia="仿宋_GB2312" w:cs="仿宋_GB2312"/>
          <w:bCs/>
          <w:sz w:val="32"/>
          <w:szCs w:val="32"/>
        </w:rPr>
        <w:t>加强交通人文建设。完善交通基础设施、运输装备功能配置和运输服务体系，满足不同群体出行多样化、个性化需求。加强无障碍设施建设，完善无障碍装备设备，提高特殊人群出行便利程度和服务水平。积极满足儿童和老龄人社会交通需求，推进交通运输适儿化改造，提升城市交通适老化无障碍出行服务水平，健全儿童和老龄人交通运输服务体系。创新服务模式，提升运输服务人性化、精细化水平。加强交通文明宣传教育，弘扬红色文化，培育交通文明，提高交通参与者守法意识和道德水平。</w:t>
      </w:r>
    </w:p>
    <w:bookmarkEnd w:id="31"/>
    <w:p>
      <w:pPr>
        <w:pStyle w:val="5"/>
        <w:keepNext w:val="0"/>
        <w:keepLines w:val="0"/>
        <w:pageBreakBefore w:val="0"/>
        <w:widowControl/>
        <w:kinsoku w:val="0"/>
        <w:wordWrap/>
        <w:overflowPunct/>
        <w:topLinePunct w:val="0"/>
        <w:autoSpaceDE w:val="0"/>
        <w:autoSpaceDN w:val="0"/>
        <w:bidi w:val="0"/>
        <w:adjustRightInd w:val="0"/>
        <w:snapToGrid w:val="0"/>
        <w:spacing w:beforeAutospacing="0" w:afterAutospacing="0" w:line="560" w:lineRule="exact"/>
        <w:ind w:firstLine="618" w:firstLineChars="200"/>
        <w:jc w:val="both"/>
        <w:textAlignment w:val="baseline"/>
        <w:rPr>
          <w:rFonts w:hint="eastAsia" w:eastAsia="黑体" w:cs="黑体"/>
          <w:b w:val="0"/>
          <w:bCs w:val="0"/>
          <w:color w:val="000000"/>
          <w:sz w:val="32"/>
          <w:szCs w:val="32"/>
        </w:rPr>
      </w:pPr>
      <w:bookmarkStart w:id="62" w:name="_Toc91265270"/>
      <w:bookmarkStart w:id="63" w:name="_Toc151387991"/>
      <w:r>
        <w:rPr>
          <w:rFonts w:hint="eastAsia" w:eastAsia="黑体" w:cs="黑体"/>
          <w:b w:val="0"/>
          <w:bCs w:val="0"/>
          <w:color w:val="000000"/>
          <w:sz w:val="32"/>
          <w:szCs w:val="32"/>
        </w:rPr>
        <w:t>七、提高交通运输现代治理能力</w:t>
      </w:r>
    </w:p>
    <w:p>
      <w:pPr>
        <w:pStyle w:val="6"/>
        <w:keepNext w:val="0"/>
        <w:keepLines w:val="0"/>
        <w:spacing w:before="0" w:after="0" w:line="560" w:lineRule="exact"/>
        <w:ind w:firstLine="618" w:firstLineChars="200"/>
        <w:jc w:val="both"/>
        <w:rPr>
          <w:rFonts w:hint="eastAsia" w:ascii="楷体_GB2312" w:hAnsi="楷体_GB2312" w:eastAsia="楷体_GB2312" w:cs="楷体_GB2312"/>
          <w:b w:val="0"/>
          <w:bCs/>
          <w:color w:val="000000"/>
          <w:szCs w:val="32"/>
        </w:rPr>
      </w:pPr>
      <w:r>
        <w:rPr>
          <w:rFonts w:hint="eastAsia" w:ascii="楷体_GB2312" w:hAnsi="楷体_GB2312" w:eastAsia="楷体_GB2312" w:cs="楷体_GB2312"/>
          <w:b w:val="0"/>
          <w:bCs/>
          <w:color w:val="000000"/>
          <w:szCs w:val="32"/>
        </w:rPr>
        <w:t>（一）深化关键领域体制机制改革</w:t>
      </w:r>
    </w:p>
    <w:p>
      <w:pPr>
        <w:keepNext w:val="0"/>
        <w:keepLines w:val="0"/>
        <w:pageBreakBefore w:val="0"/>
        <w:widowControl/>
        <w:kinsoku w:val="0"/>
        <w:wordWrap/>
        <w:overflowPunct/>
        <w:topLinePunct w:val="0"/>
        <w:autoSpaceDE w:val="0"/>
        <w:autoSpaceDN w:val="0"/>
        <w:bidi w:val="0"/>
        <w:adjustRightInd w:val="0"/>
        <w:snapToGrid w:val="0"/>
        <w:spacing w:line="540" w:lineRule="exact"/>
        <w:ind w:firstLine="618" w:firstLineChars="200"/>
        <w:jc w:val="both"/>
        <w:textAlignment w:val="baseline"/>
        <w:rPr>
          <w:rFonts w:hint="eastAsia" w:ascii="宋体" w:hAnsi="宋体" w:eastAsia="仿宋_GB2312" w:cs="仿宋_GB2312"/>
          <w:bCs/>
          <w:sz w:val="32"/>
          <w:szCs w:val="32"/>
        </w:rPr>
      </w:pPr>
      <w:r>
        <w:rPr>
          <w:rFonts w:hint="eastAsia" w:ascii="宋体" w:hAnsi="宋体" w:eastAsia="仿宋_GB2312" w:cs="仿宋_GB2312"/>
          <w:bCs/>
          <w:sz w:val="32"/>
          <w:szCs w:val="32"/>
        </w:rPr>
        <w:t>坚持简政放权、放管结合、优化服务，持续推进行政权力管理清单化、“双随机、一公开”监管常态化，形成统一开放、竞争有序的交通运输市场。深化综合交通运输管理体制改革，完善综合交通运输发展战略规划政策体系。深化公路、水路投融资建设和养护改革。以大数据、信用信息共享为基础，构建综合交通运输新型治理机制。</w:t>
      </w:r>
    </w:p>
    <w:p>
      <w:pPr>
        <w:pStyle w:val="6"/>
        <w:keepNext w:val="0"/>
        <w:keepLines w:val="0"/>
        <w:pageBreakBefore w:val="0"/>
        <w:widowControl/>
        <w:kinsoku w:val="0"/>
        <w:wordWrap/>
        <w:overflowPunct/>
        <w:topLinePunct w:val="0"/>
        <w:autoSpaceDE w:val="0"/>
        <w:autoSpaceDN w:val="0"/>
        <w:bidi w:val="0"/>
        <w:adjustRightInd w:val="0"/>
        <w:snapToGrid w:val="0"/>
        <w:spacing w:before="0" w:after="0" w:line="540" w:lineRule="exact"/>
        <w:ind w:firstLine="618" w:firstLineChars="200"/>
        <w:jc w:val="both"/>
        <w:textAlignment w:val="baseline"/>
        <w:rPr>
          <w:rFonts w:hint="eastAsia" w:ascii="楷体_GB2312" w:hAnsi="楷体_GB2312" w:eastAsia="楷体_GB2312" w:cs="楷体_GB2312"/>
          <w:b w:val="0"/>
          <w:bCs/>
          <w:color w:val="000000"/>
          <w:szCs w:val="32"/>
        </w:rPr>
      </w:pPr>
      <w:r>
        <w:rPr>
          <w:rFonts w:hint="eastAsia" w:ascii="楷体_GB2312" w:hAnsi="楷体_GB2312" w:eastAsia="楷体_GB2312" w:cs="楷体_GB2312"/>
          <w:b w:val="0"/>
          <w:bCs/>
          <w:color w:val="000000"/>
          <w:szCs w:val="32"/>
        </w:rPr>
        <w:t>（二）完善政策与标准</w:t>
      </w:r>
    </w:p>
    <w:p>
      <w:pPr>
        <w:keepNext w:val="0"/>
        <w:keepLines w:val="0"/>
        <w:pageBreakBefore w:val="0"/>
        <w:widowControl/>
        <w:kinsoku w:val="0"/>
        <w:wordWrap/>
        <w:overflowPunct/>
        <w:topLinePunct w:val="0"/>
        <w:autoSpaceDE w:val="0"/>
        <w:autoSpaceDN w:val="0"/>
        <w:bidi w:val="0"/>
        <w:adjustRightInd w:val="0"/>
        <w:snapToGrid w:val="0"/>
        <w:spacing w:line="540" w:lineRule="exact"/>
        <w:ind w:firstLine="618" w:firstLineChars="200"/>
        <w:jc w:val="both"/>
        <w:textAlignment w:val="baseline"/>
        <w:rPr>
          <w:rFonts w:ascii="宋体" w:hAnsi="宋体" w:eastAsia="仿宋_GB2312" w:cs="仿宋_GB2312"/>
          <w:bCs/>
          <w:sz w:val="32"/>
          <w:szCs w:val="32"/>
        </w:rPr>
      </w:pPr>
      <w:r>
        <w:rPr>
          <w:rFonts w:hint="eastAsia" w:ascii="宋体" w:hAnsi="宋体" w:eastAsia="仿宋_GB2312" w:cs="仿宋_GB2312"/>
          <w:bCs/>
          <w:sz w:val="32"/>
          <w:szCs w:val="32"/>
        </w:rPr>
        <w:t>坚持法治引领。深化交通运输法治政府部门建设，完善权力配置和运行制约机制，健全公共决策和权力监督机制。提升交通运输执法队伍能力和水平，严格规范公正文明执法。建立跨部门、跨区域、跨层级的执法协作机制，深入开展赣粤两省四市跨区域联合执法。积极引进和采用国际先进标准，推动公路养护、综合交通枢纽、多式联运、智能交通等新领域标准使用，积极构建赣州地方交通行业标准化体系。</w:t>
      </w:r>
    </w:p>
    <w:p>
      <w:pPr>
        <w:pStyle w:val="6"/>
        <w:keepNext w:val="0"/>
        <w:keepLines w:val="0"/>
        <w:pageBreakBefore w:val="0"/>
        <w:widowControl/>
        <w:kinsoku w:val="0"/>
        <w:wordWrap/>
        <w:overflowPunct/>
        <w:topLinePunct w:val="0"/>
        <w:autoSpaceDE w:val="0"/>
        <w:autoSpaceDN w:val="0"/>
        <w:bidi w:val="0"/>
        <w:adjustRightInd w:val="0"/>
        <w:snapToGrid w:val="0"/>
        <w:spacing w:before="0" w:after="0" w:line="540" w:lineRule="exact"/>
        <w:ind w:firstLine="618" w:firstLineChars="200"/>
        <w:jc w:val="both"/>
        <w:textAlignment w:val="baseline"/>
        <w:rPr>
          <w:rFonts w:hint="eastAsia" w:ascii="楷体_GB2312" w:hAnsi="楷体_GB2312" w:eastAsia="楷体_GB2312" w:cs="楷体_GB2312"/>
          <w:b w:val="0"/>
          <w:bCs/>
          <w:color w:val="000000"/>
          <w:szCs w:val="32"/>
        </w:rPr>
      </w:pPr>
      <w:r>
        <w:rPr>
          <w:rFonts w:hint="eastAsia" w:ascii="楷体_GB2312" w:hAnsi="楷体_GB2312" w:eastAsia="楷体_GB2312" w:cs="楷体_GB2312"/>
          <w:b w:val="0"/>
          <w:bCs/>
          <w:color w:val="000000"/>
          <w:szCs w:val="32"/>
        </w:rPr>
        <w:t>（三）加强交通运输人才队伍建设</w:t>
      </w:r>
    </w:p>
    <w:p>
      <w:pPr>
        <w:keepNext w:val="0"/>
        <w:keepLines w:val="0"/>
        <w:pageBreakBefore w:val="0"/>
        <w:widowControl/>
        <w:kinsoku w:val="0"/>
        <w:wordWrap/>
        <w:overflowPunct/>
        <w:topLinePunct w:val="0"/>
        <w:autoSpaceDE w:val="0"/>
        <w:autoSpaceDN w:val="0"/>
        <w:bidi w:val="0"/>
        <w:adjustRightInd w:val="0"/>
        <w:snapToGrid w:val="0"/>
        <w:spacing w:line="540" w:lineRule="exact"/>
        <w:ind w:firstLine="618" w:firstLineChars="200"/>
        <w:jc w:val="both"/>
        <w:textAlignment w:val="baseline"/>
        <w:rPr>
          <w:rFonts w:ascii="宋体" w:hAnsi="宋体" w:eastAsia="仿宋_GB2312" w:cs="仿宋_GB2312"/>
          <w:bCs/>
          <w:sz w:val="32"/>
          <w:szCs w:val="32"/>
        </w:rPr>
      </w:pPr>
      <w:r>
        <w:rPr>
          <w:rFonts w:hint="eastAsia" w:ascii="宋体" w:hAnsi="宋体" w:eastAsia="仿宋_GB2312" w:cs="仿宋_GB2312"/>
          <w:bCs/>
          <w:sz w:val="32"/>
          <w:szCs w:val="32"/>
        </w:rPr>
        <w:t>优化人才队伍结构，创新人才队伍培育机制，加强专业化人才引进。弘扬劳模精神、工匠精神，加快建立与交通强市建设相适应的人才队伍，形成行业结构、层次结构、专业结构、年龄结构相对合理的人才梯队。加强创新型、应用型、技能型人才培养，建设忠诚干净担当的高素质干部队伍，造就一支素质优良的劳动者大军。</w:t>
      </w:r>
    </w:p>
    <w:p>
      <w:pPr>
        <w:pStyle w:val="5"/>
        <w:keepNext w:val="0"/>
        <w:keepLines w:val="0"/>
        <w:pageBreakBefore w:val="0"/>
        <w:widowControl/>
        <w:kinsoku w:val="0"/>
        <w:wordWrap/>
        <w:overflowPunct/>
        <w:topLinePunct w:val="0"/>
        <w:autoSpaceDE w:val="0"/>
        <w:autoSpaceDN w:val="0"/>
        <w:bidi w:val="0"/>
        <w:adjustRightInd w:val="0"/>
        <w:snapToGrid w:val="0"/>
        <w:spacing w:beforeAutospacing="0" w:afterAutospacing="0" w:line="560" w:lineRule="exact"/>
        <w:ind w:firstLine="618" w:firstLineChars="200"/>
        <w:jc w:val="both"/>
        <w:textAlignment w:val="baseline"/>
        <w:rPr>
          <w:rFonts w:hint="eastAsia" w:eastAsia="黑体" w:cs="黑体"/>
          <w:b w:val="0"/>
          <w:bCs w:val="0"/>
          <w:color w:val="000000"/>
          <w:sz w:val="32"/>
          <w:szCs w:val="32"/>
        </w:rPr>
      </w:pPr>
      <w:r>
        <w:rPr>
          <w:rFonts w:hint="eastAsia" w:eastAsia="黑体" w:cs="黑体"/>
          <w:b w:val="0"/>
          <w:bCs w:val="0"/>
          <w:color w:val="000000"/>
          <w:sz w:val="32"/>
          <w:szCs w:val="32"/>
        </w:rPr>
        <w:t>八、保障措施</w:t>
      </w:r>
    </w:p>
    <w:p>
      <w:pPr>
        <w:pStyle w:val="6"/>
        <w:keepNext w:val="0"/>
        <w:keepLines w:val="0"/>
        <w:spacing w:before="0" w:after="0" w:line="560" w:lineRule="exact"/>
        <w:ind w:firstLine="618" w:firstLineChars="200"/>
        <w:jc w:val="both"/>
        <w:rPr>
          <w:rFonts w:hint="eastAsia" w:ascii="楷体_GB2312" w:hAnsi="楷体_GB2312" w:eastAsia="楷体_GB2312" w:cs="楷体_GB2312"/>
          <w:b w:val="0"/>
          <w:bCs/>
          <w:color w:val="000000"/>
          <w:szCs w:val="32"/>
        </w:rPr>
      </w:pPr>
      <w:r>
        <w:rPr>
          <w:rFonts w:hint="eastAsia" w:ascii="楷体_GB2312" w:hAnsi="楷体_GB2312" w:eastAsia="楷体_GB2312" w:cs="楷体_GB2312"/>
          <w:b w:val="0"/>
          <w:bCs/>
          <w:color w:val="000000"/>
          <w:szCs w:val="32"/>
        </w:rPr>
        <w:t>（一）加强党的领导</w:t>
      </w:r>
    </w:p>
    <w:p>
      <w:pPr>
        <w:keepNext w:val="0"/>
        <w:keepLines w:val="0"/>
        <w:pageBreakBefore w:val="0"/>
        <w:widowControl/>
        <w:kinsoku w:val="0"/>
        <w:wordWrap/>
        <w:overflowPunct/>
        <w:topLinePunct w:val="0"/>
        <w:autoSpaceDE w:val="0"/>
        <w:autoSpaceDN w:val="0"/>
        <w:bidi w:val="0"/>
        <w:adjustRightInd w:val="0"/>
        <w:snapToGrid w:val="0"/>
        <w:spacing w:line="520" w:lineRule="exact"/>
        <w:ind w:firstLine="618" w:firstLineChars="200"/>
        <w:jc w:val="both"/>
        <w:textAlignment w:val="baseline"/>
        <w:rPr>
          <w:rFonts w:ascii="宋体" w:hAnsi="宋体" w:eastAsia="仿宋_GB2312" w:cs="仿宋_GB2312"/>
          <w:bCs/>
          <w:sz w:val="32"/>
          <w:szCs w:val="32"/>
        </w:rPr>
      </w:pPr>
      <w:r>
        <w:rPr>
          <w:rFonts w:hint="eastAsia" w:ascii="宋体" w:hAnsi="宋体" w:eastAsia="仿宋_GB2312" w:cs="仿宋_GB2312"/>
          <w:bCs/>
          <w:sz w:val="32"/>
          <w:szCs w:val="32"/>
        </w:rPr>
        <w:t>始终把党的领导贯穿到加快建设交通强市全过程，充分发挥各级党组织和党员干部在推进全市综合立体交通网建设发展中的作用，激励干部担当作为，为实现本规划目标任务凝聚强大工作合力。</w:t>
      </w:r>
    </w:p>
    <w:p>
      <w:pPr>
        <w:pStyle w:val="6"/>
        <w:keepNext w:val="0"/>
        <w:keepLines w:val="0"/>
        <w:pageBreakBefore w:val="0"/>
        <w:widowControl/>
        <w:kinsoku w:val="0"/>
        <w:wordWrap/>
        <w:overflowPunct/>
        <w:topLinePunct w:val="0"/>
        <w:autoSpaceDE w:val="0"/>
        <w:autoSpaceDN w:val="0"/>
        <w:bidi w:val="0"/>
        <w:adjustRightInd w:val="0"/>
        <w:snapToGrid w:val="0"/>
        <w:spacing w:before="0" w:after="0" w:line="520" w:lineRule="exact"/>
        <w:ind w:firstLine="618" w:firstLineChars="200"/>
        <w:jc w:val="both"/>
        <w:textAlignment w:val="baseline"/>
        <w:rPr>
          <w:rFonts w:hint="eastAsia" w:ascii="楷体_GB2312" w:hAnsi="楷体_GB2312" w:eastAsia="楷体_GB2312" w:cs="楷体_GB2312"/>
          <w:b w:val="0"/>
          <w:bCs/>
          <w:color w:val="000000"/>
          <w:szCs w:val="32"/>
        </w:rPr>
      </w:pPr>
      <w:r>
        <w:rPr>
          <w:rFonts w:hint="eastAsia" w:ascii="楷体_GB2312" w:hAnsi="楷体_GB2312" w:eastAsia="楷体_GB2312" w:cs="楷体_GB2312"/>
          <w:b w:val="0"/>
          <w:bCs/>
          <w:color w:val="000000"/>
          <w:szCs w:val="32"/>
        </w:rPr>
        <w:t>（二）加强组织协调</w:t>
      </w:r>
    </w:p>
    <w:p>
      <w:pPr>
        <w:keepNext w:val="0"/>
        <w:keepLines w:val="0"/>
        <w:pageBreakBefore w:val="0"/>
        <w:widowControl/>
        <w:kinsoku w:val="0"/>
        <w:wordWrap/>
        <w:overflowPunct/>
        <w:topLinePunct w:val="0"/>
        <w:autoSpaceDE w:val="0"/>
        <w:autoSpaceDN w:val="0"/>
        <w:bidi w:val="0"/>
        <w:adjustRightInd w:val="0"/>
        <w:snapToGrid w:val="0"/>
        <w:spacing w:line="520" w:lineRule="exact"/>
        <w:ind w:firstLine="618" w:firstLineChars="200"/>
        <w:jc w:val="both"/>
        <w:textAlignment w:val="baseline"/>
        <w:rPr>
          <w:rFonts w:ascii="宋体" w:hAnsi="宋体" w:eastAsia="仿宋_GB2312" w:cs="仿宋_GB2312"/>
          <w:bCs/>
          <w:sz w:val="32"/>
          <w:szCs w:val="32"/>
        </w:rPr>
      </w:pPr>
      <w:r>
        <w:rPr>
          <w:rFonts w:hint="eastAsia" w:ascii="宋体" w:hAnsi="宋体" w:eastAsia="仿宋_GB2312" w:cs="仿宋_GB2312"/>
          <w:bCs/>
          <w:sz w:val="32"/>
          <w:szCs w:val="32"/>
        </w:rPr>
        <w:t>加强本规划实施组织保障体系建设。充分发挥市交通强国建设领导小组办公室对本规划实施的统筹协调作用，市直相关部门和各县（市、区）、赣州经济开发区、赣州蓉江新区要落实工作职责，强化部门协同和上下联动，推动各类交通基础设施统筹规划、协同建设。</w:t>
      </w:r>
    </w:p>
    <w:p>
      <w:pPr>
        <w:pStyle w:val="6"/>
        <w:keepNext w:val="0"/>
        <w:keepLines w:val="0"/>
        <w:pageBreakBefore w:val="0"/>
        <w:widowControl/>
        <w:kinsoku w:val="0"/>
        <w:wordWrap/>
        <w:overflowPunct/>
        <w:topLinePunct w:val="0"/>
        <w:autoSpaceDE w:val="0"/>
        <w:autoSpaceDN w:val="0"/>
        <w:bidi w:val="0"/>
        <w:adjustRightInd w:val="0"/>
        <w:snapToGrid w:val="0"/>
        <w:spacing w:before="0" w:after="0" w:line="520" w:lineRule="exact"/>
        <w:ind w:firstLine="618" w:firstLineChars="200"/>
        <w:jc w:val="both"/>
        <w:textAlignment w:val="baseline"/>
        <w:rPr>
          <w:rFonts w:hint="eastAsia" w:ascii="楷体_GB2312" w:hAnsi="楷体_GB2312" w:eastAsia="楷体_GB2312" w:cs="楷体_GB2312"/>
          <w:b w:val="0"/>
          <w:bCs/>
          <w:color w:val="000000"/>
          <w:szCs w:val="32"/>
        </w:rPr>
      </w:pPr>
      <w:r>
        <w:rPr>
          <w:rFonts w:hint="eastAsia" w:ascii="楷体_GB2312" w:hAnsi="楷体_GB2312" w:eastAsia="楷体_GB2312" w:cs="楷体_GB2312"/>
          <w:b w:val="0"/>
          <w:bCs/>
          <w:color w:val="000000"/>
          <w:szCs w:val="32"/>
        </w:rPr>
        <w:t>（三）强化要素保障</w:t>
      </w:r>
    </w:p>
    <w:p>
      <w:pPr>
        <w:keepNext w:val="0"/>
        <w:keepLines w:val="0"/>
        <w:pageBreakBefore w:val="0"/>
        <w:widowControl/>
        <w:kinsoku w:val="0"/>
        <w:wordWrap/>
        <w:overflowPunct/>
        <w:topLinePunct w:val="0"/>
        <w:autoSpaceDE w:val="0"/>
        <w:autoSpaceDN w:val="0"/>
        <w:bidi w:val="0"/>
        <w:adjustRightInd w:val="0"/>
        <w:snapToGrid w:val="0"/>
        <w:spacing w:line="520" w:lineRule="exact"/>
        <w:ind w:firstLine="618" w:firstLineChars="200"/>
        <w:jc w:val="both"/>
        <w:textAlignment w:val="baseline"/>
        <w:rPr>
          <w:rFonts w:hint="eastAsia" w:ascii="宋体" w:hAnsi="宋体" w:eastAsia="仿宋_GB2312" w:cs="仿宋_GB2312"/>
          <w:bCs/>
          <w:sz w:val="32"/>
          <w:szCs w:val="32"/>
        </w:rPr>
      </w:pPr>
      <w:r>
        <w:rPr>
          <w:rFonts w:hint="eastAsia" w:ascii="宋体" w:hAnsi="宋体" w:eastAsia="仿宋_GB2312" w:cs="仿宋_GB2312"/>
          <w:bCs/>
          <w:sz w:val="32"/>
          <w:szCs w:val="32"/>
        </w:rPr>
        <w:t>在符合国土空间规划要求的前提下，保障本规划项目土地等资源供给，规划、建设过程严格用地控制，突出立体、集约、节约思维，提高交通用地复合程度，盘活闲置交通用地资源，集约节约利用土地、岸线、空域等资源。建立国土空间规划等相关规划与交通规划协调机制和动态调整管理政策。积极争取中央、省级资金支持交通建设，建立完善与交通运输发展阶段特征相适应的资金保障制度，落实市、县在交通运输领域的财政事权和支出责任，确保各交通专项资金支持交通发展。创新交通运输领域投融资模式，积极引导社会资本参与交通基础设施建设。</w:t>
      </w:r>
    </w:p>
    <w:p>
      <w:pPr>
        <w:pStyle w:val="6"/>
        <w:keepNext w:val="0"/>
        <w:keepLines w:val="0"/>
        <w:pageBreakBefore w:val="0"/>
        <w:widowControl/>
        <w:kinsoku w:val="0"/>
        <w:wordWrap/>
        <w:overflowPunct/>
        <w:topLinePunct w:val="0"/>
        <w:autoSpaceDE w:val="0"/>
        <w:autoSpaceDN w:val="0"/>
        <w:bidi w:val="0"/>
        <w:adjustRightInd w:val="0"/>
        <w:snapToGrid w:val="0"/>
        <w:spacing w:before="0" w:after="0" w:line="520" w:lineRule="exact"/>
        <w:ind w:firstLine="618" w:firstLineChars="200"/>
        <w:jc w:val="both"/>
        <w:textAlignment w:val="baseline"/>
        <w:rPr>
          <w:rFonts w:ascii="楷体_GB2312" w:hAnsi="楷体_GB2312" w:eastAsia="楷体_GB2312" w:cs="楷体_GB2312"/>
          <w:b w:val="0"/>
          <w:bCs/>
          <w:color w:val="000000"/>
          <w:szCs w:val="32"/>
        </w:rPr>
      </w:pPr>
      <w:r>
        <w:rPr>
          <w:rFonts w:hint="eastAsia" w:ascii="楷体_GB2312" w:hAnsi="楷体_GB2312" w:eastAsia="楷体_GB2312" w:cs="楷体_GB2312"/>
          <w:b w:val="0"/>
          <w:bCs/>
          <w:color w:val="000000"/>
          <w:szCs w:val="32"/>
        </w:rPr>
        <w:t>（四）加强实施管理</w:t>
      </w:r>
    </w:p>
    <w:p>
      <w:pPr>
        <w:keepNext w:val="0"/>
        <w:keepLines w:val="0"/>
        <w:pageBreakBefore w:val="0"/>
        <w:widowControl/>
        <w:kinsoku w:val="0"/>
        <w:wordWrap/>
        <w:overflowPunct/>
        <w:topLinePunct w:val="0"/>
        <w:autoSpaceDE w:val="0"/>
        <w:autoSpaceDN w:val="0"/>
        <w:bidi w:val="0"/>
        <w:adjustRightInd w:val="0"/>
        <w:snapToGrid w:val="0"/>
        <w:spacing w:line="520" w:lineRule="exact"/>
        <w:ind w:firstLine="618" w:firstLineChars="200"/>
        <w:jc w:val="both"/>
        <w:textAlignment w:val="baseline"/>
        <w:rPr>
          <w:rFonts w:ascii="宋体" w:hAnsi="宋体" w:eastAsia="仿宋_GB2312" w:cs="仿宋_GB2312"/>
          <w:bCs/>
          <w:sz w:val="32"/>
          <w:szCs w:val="32"/>
        </w:rPr>
      </w:pPr>
      <w:r>
        <w:rPr>
          <w:rFonts w:hint="eastAsia" w:ascii="宋体" w:hAnsi="宋体" w:eastAsia="仿宋_GB2312" w:cs="仿宋_GB2312"/>
          <w:bCs/>
          <w:sz w:val="32"/>
          <w:szCs w:val="32"/>
        </w:rPr>
        <w:t>要加强本规划与国民经济和社会发展、国土空间、区域发展等相关规划衔接，与城乡建设发展相统筹。市交通运输局要会同有关部门定期开展规划评估，加强本规划实施动态监测与评估，强化本规划实施进展统计与监测工作，依据国家、省、市有关规划进行动态调整或修订。重大事项及时向市委、市政府请示报告。</w:t>
      </w:r>
      <w:bookmarkEnd w:id="62"/>
      <w:bookmarkEnd w:id="63"/>
      <w:bookmarkStart w:id="64" w:name="_Hlk82620654"/>
    </w:p>
    <w:p>
      <w:pPr>
        <w:spacing w:line="580" w:lineRule="exact"/>
        <w:ind w:firstLine="618" w:firstLineChars="200"/>
        <w:rPr>
          <w:rFonts w:ascii="宋体" w:hAnsi="宋体" w:eastAsia="仿宋_GB2312" w:cs="仿宋_GB2312"/>
          <w:bCs/>
          <w:sz w:val="32"/>
          <w:szCs w:val="32"/>
        </w:rPr>
      </w:pPr>
    </w:p>
    <w:p>
      <w:pPr>
        <w:spacing w:line="580" w:lineRule="exact"/>
        <w:ind w:firstLine="618" w:firstLineChars="200"/>
        <w:rPr>
          <w:rFonts w:hint="eastAsia" w:ascii="宋体" w:hAnsi="宋体" w:eastAsia="仿宋_GB2312" w:cs="仿宋_GB2312"/>
          <w:bCs/>
          <w:sz w:val="32"/>
          <w:szCs w:val="32"/>
        </w:rPr>
      </w:pPr>
    </w:p>
    <w:bookmarkEnd w:id="64"/>
    <w:p>
      <w:pPr>
        <w:pStyle w:val="7"/>
        <w:keepNext w:val="0"/>
        <w:keepLines w:val="0"/>
        <w:spacing w:before="0" w:after="0" w:line="560" w:lineRule="exact"/>
        <w:jc w:val="center"/>
        <w:rPr>
          <w:rFonts w:ascii="宋体" w:hAnsi="宋体" w:eastAsia="黑体" w:cs="黑体"/>
          <w:b w:val="0"/>
          <w:bCs w:val="0"/>
        </w:rPr>
        <w:sectPr>
          <w:footerReference r:id="rId4" w:type="default"/>
          <w:footnotePr>
            <w:numFmt w:val="decimalEnclosedCircleChinese"/>
          </w:footnotePr>
          <w:pgSz w:w="11906" w:h="16838"/>
          <w:pgMar w:top="1474" w:right="1587" w:bottom="2098" w:left="1587" w:header="851" w:footer="1701" w:gutter="0"/>
          <w:pgBorders>
            <w:top w:val="none" w:sz="0" w:space="0"/>
            <w:left w:val="none" w:sz="0" w:space="0"/>
            <w:bottom w:val="none" w:sz="0" w:space="0"/>
            <w:right w:val="none" w:sz="0" w:space="0"/>
          </w:pgBorders>
          <w:pgNumType w:fmt="decimal" w:start="1"/>
          <w:cols w:space="720" w:num="1"/>
          <w:docGrid w:type="linesAndChars" w:linePitch="574" w:charSpace="-2365"/>
        </w:sectPr>
      </w:pPr>
    </w:p>
    <w:p>
      <w:pPr>
        <w:spacing w:line="560" w:lineRule="exact"/>
        <w:jc w:val="both"/>
        <w:rPr>
          <w:rFonts w:ascii="宋体" w:hAnsi="宋体" w:eastAsia="仿宋_GB2312" w:cs="仿宋_GB2312"/>
          <w:bCs/>
          <w:sz w:val="32"/>
          <w:szCs w:val="32"/>
        </w:rPr>
      </w:pPr>
      <w:r>
        <w:rPr>
          <w:rFonts w:hint="eastAsia" w:ascii="宋体" w:hAnsi="宋体" w:eastAsia="仿宋_GB2312" w:cs="仿宋_GB2312"/>
          <w:bCs/>
          <w:sz w:val="32"/>
          <w:szCs w:val="32"/>
        </w:rPr>
        <w:t>附注：</w:t>
      </w:r>
    </w:p>
    <w:p>
      <w:pPr>
        <w:numPr>
          <w:ilvl w:val="0"/>
          <w:numId w:val="1"/>
        </w:numPr>
        <w:spacing w:line="560" w:lineRule="exact"/>
        <w:jc w:val="both"/>
        <w:rPr>
          <w:rFonts w:ascii="宋体" w:hAnsi="宋体" w:eastAsia="仿宋_GB2312" w:cs="仿宋_GB2312"/>
          <w:sz w:val="32"/>
          <w:szCs w:val="32"/>
        </w:rPr>
      </w:pPr>
      <w:r>
        <w:rPr>
          <w:rFonts w:hint="eastAsia" w:ascii="宋体" w:hAnsi="宋体" w:eastAsia="仿宋_GB2312" w:cs="仿宋_GB2312"/>
          <w:sz w:val="32"/>
          <w:szCs w:val="32"/>
        </w:rPr>
        <w:t>“两纵三横”</w:t>
      </w:r>
    </w:p>
    <w:p>
      <w:pPr>
        <w:spacing w:line="560" w:lineRule="exact"/>
        <w:ind w:left="199" w:leftChars="100" w:firstLine="0" w:firstLineChars="0"/>
        <w:jc w:val="both"/>
        <w:rPr>
          <w:rFonts w:hint="eastAsia" w:ascii="宋体" w:hAnsi="宋体" w:eastAsia="仿宋_GB2312" w:cs="仿宋_GB2312"/>
          <w:sz w:val="32"/>
          <w:szCs w:val="32"/>
        </w:rPr>
      </w:pPr>
      <w:r>
        <w:rPr>
          <w:rFonts w:hint="eastAsia" w:ascii="宋体" w:hAnsi="宋体" w:eastAsia="仿宋_GB2312" w:cs="仿宋_GB2312"/>
          <w:sz w:val="32"/>
          <w:szCs w:val="32"/>
        </w:rPr>
        <w:t>两纵：京港澳通道、阜鹰汕通道</w:t>
      </w:r>
    </w:p>
    <w:p>
      <w:pPr>
        <w:spacing w:line="560" w:lineRule="exact"/>
        <w:ind w:left="199" w:leftChars="100" w:firstLine="0" w:firstLineChars="0"/>
        <w:jc w:val="both"/>
        <w:rPr>
          <w:rFonts w:ascii="宋体" w:hAnsi="宋体" w:eastAsia="仿宋_GB2312" w:cs="仿宋_GB2312"/>
          <w:sz w:val="32"/>
          <w:szCs w:val="32"/>
        </w:rPr>
      </w:pPr>
      <w:r>
        <w:rPr>
          <w:rFonts w:hint="eastAsia" w:ascii="宋体" w:hAnsi="宋体" w:eastAsia="仿宋_GB2312" w:cs="仿宋_GB2312"/>
          <w:sz w:val="32"/>
          <w:szCs w:val="32"/>
        </w:rPr>
        <w:t>三横：渝长厦通道、蒙吉泉通道、韶赣厦通道</w:t>
      </w:r>
    </w:p>
    <w:p>
      <w:pPr>
        <w:pStyle w:val="25"/>
        <w:numPr>
          <w:ilvl w:val="0"/>
          <w:numId w:val="1"/>
        </w:numPr>
        <w:ind w:firstLineChars="0"/>
        <w:jc w:val="both"/>
        <w:rPr>
          <w:rFonts w:hint="eastAsia" w:ascii="仿宋_GB2312" w:eastAsia="仿宋_GB2312"/>
          <w:sz w:val="32"/>
          <w:szCs w:val="32"/>
        </w:rPr>
      </w:pPr>
      <w:r>
        <w:rPr>
          <w:rFonts w:hint="eastAsia" w:ascii="仿宋_GB2312" w:eastAsia="仿宋_GB2312"/>
          <w:sz w:val="32"/>
          <w:szCs w:val="32"/>
        </w:rPr>
        <w:t>“一港五区”</w:t>
      </w:r>
    </w:p>
    <w:p>
      <w:pPr>
        <w:pStyle w:val="25"/>
        <w:ind w:firstLine="0" w:firstLineChars="0"/>
        <w:jc w:val="both"/>
        <w:rPr>
          <w:rFonts w:hint="eastAsia" w:ascii="仿宋_GB2312" w:eastAsia="仿宋_GB2312"/>
          <w:sz w:val="32"/>
          <w:szCs w:val="32"/>
        </w:rPr>
      </w:pPr>
      <w:r>
        <w:rPr>
          <w:rFonts w:hint="eastAsia" w:ascii="仿宋_GB2312" w:eastAsia="仿宋_GB2312"/>
          <w:sz w:val="32"/>
          <w:szCs w:val="32"/>
        </w:rPr>
        <w:t>一港：赣州港</w:t>
      </w:r>
      <w:r>
        <w:rPr>
          <w:rFonts w:hint="eastAsia" w:ascii="仿宋_GB2312" w:eastAsia="仿宋_GB2312"/>
          <w:sz w:val="32"/>
          <w:szCs w:val="32"/>
        </w:rPr>
        <w:br w:type="textWrapping"/>
      </w:r>
      <w:r>
        <w:rPr>
          <w:rFonts w:hint="eastAsia" w:ascii="仿宋_GB2312" w:eastAsia="仿宋_GB2312"/>
          <w:sz w:val="32"/>
          <w:szCs w:val="32"/>
        </w:rPr>
        <w:t>五区：赣县港区、章贡港区、于都港区、南康港区和信丰港区</w:t>
      </w:r>
    </w:p>
    <w:p>
      <w:pPr>
        <w:pStyle w:val="2"/>
        <w:numPr>
          <w:ilvl w:val="0"/>
          <w:numId w:val="1"/>
        </w:numPr>
        <w:ind w:firstLineChars="0"/>
        <w:jc w:val="both"/>
        <w:rPr>
          <w:rFonts w:hint="eastAsia" w:ascii="仿宋_GB2312" w:eastAsia="仿宋_GB2312"/>
          <w:sz w:val="32"/>
          <w:szCs w:val="32"/>
        </w:rPr>
      </w:pPr>
      <w:r>
        <w:rPr>
          <w:rFonts w:hint="eastAsia" w:ascii="仿宋_GB2312" w:eastAsia="仿宋_GB2312"/>
          <w:sz w:val="32"/>
          <w:szCs w:val="32"/>
        </w:rPr>
        <w:t>“一主四重”</w:t>
      </w:r>
    </w:p>
    <w:p>
      <w:pPr>
        <w:pStyle w:val="2"/>
        <w:ind w:firstLine="0" w:firstLineChars="0"/>
        <w:jc w:val="both"/>
        <w:rPr>
          <w:rFonts w:hint="eastAsia" w:ascii="仿宋_GB2312" w:eastAsia="仿宋_GB2312"/>
          <w:sz w:val="32"/>
          <w:szCs w:val="32"/>
        </w:rPr>
      </w:pPr>
      <w:r>
        <w:rPr>
          <w:rFonts w:hint="eastAsia" w:ascii="仿宋_GB2312" w:eastAsia="仿宋_GB2312"/>
          <w:sz w:val="32"/>
          <w:szCs w:val="32"/>
        </w:rPr>
        <w:t>一主：赣县港区</w:t>
      </w:r>
      <w:r>
        <w:rPr>
          <w:rFonts w:hint="eastAsia" w:ascii="仿宋_GB2312" w:eastAsia="仿宋_GB2312"/>
          <w:sz w:val="32"/>
          <w:szCs w:val="32"/>
        </w:rPr>
        <w:br w:type="textWrapping"/>
      </w:r>
      <w:r>
        <w:rPr>
          <w:rFonts w:hint="eastAsia" w:ascii="仿宋_GB2312" w:eastAsia="仿宋_GB2312"/>
          <w:sz w:val="32"/>
          <w:szCs w:val="32"/>
        </w:rPr>
        <w:t>四重：章贡港区、南康港区、于都港区、信丰港区</w:t>
      </w:r>
    </w:p>
    <w:p>
      <w:pPr>
        <w:pStyle w:val="2"/>
        <w:numPr>
          <w:ilvl w:val="0"/>
          <w:numId w:val="1"/>
        </w:numPr>
        <w:ind w:firstLineChars="0"/>
        <w:jc w:val="both"/>
        <w:rPr>
          <w:rFonts w:eastAsia="仿宋_GB2312" w:cs="仿宋_GB2312"/>
          <w:bCs/>
          <w:sz w:val="32"/>
          <w:szCs w:val="32"/>
        </w:rPr>
      </w:pPr>
      <w:r>
        <w:rPr>
          <w:rFonts w:hint="eastAsia" w:eastAsia="仿宋_GB2312" w:cs="仿宋_GB2312"/>
          <w:bCs/>
          <w:sz w:val="32"/>
          <w:szCs w:val="32"/>
        </w:rPr>
        <w:t>“一干一支”</w:t>
      </w:r>
    </w:p>
    <w:p>
      <w:pPr>
        <w:pStyle w:val="2"/>
        <w:ind w:firstLine="0" w:firstLineChars="0"/>
        <w:jc w:val="both"/>
        <w:rPr>
          <w:rFonts w:eastAsia="仿宋_GB2312" w:cs="仿宋_GB2312"/>
          <w:bCs/>
          <w:sz w:val="32"/>
          <w:szCs w:val="32"/>
        </w:rPr>
      </w:pPr>
      <w:r>
        <w:rPr>
          <w:rFonts w:hint="eastAsia" w:eastAsia="仿宋_GB2312" w:cs="仿宋_GB2312"/>
          <w:bCs/>
          <w:sz w:val="32"/>
          <w:szCs w:val="32"/>
        </w:rPr>
        <w:t>一干：赣州黄金机场</w:t>
      </w:r>
    </w:p>
    <w:p>
      <w:pPr>
        <w:pStyle w:val="2"/>
        <w:ind w:firstLine="0" w:firstLineChars="0"/>
        <w:jc w:val="both"/>
        <w:rPr>
          <w:rFonts w:eastAsia="仿宋_GB2312" w:cs="仿宋_GB2312"/>
          <w:bCs/>
          <w:sz w:val="32"/>
          <w:szCs w:val="32"/>
        </w:rPr>
      </w:pPr>
      <w:r>
        <w:rPr>
          <w:rFonts w:hint="eastAsia" w:eastAsia="仿宋_GB2312" w:cs="仿宋_GB2312"/>
          <w:bCs/>
          <w:sz w:val="32"/>
          <w:szCs w:val="32"/>
        </w:rPr>
        <w:t>一支：赣州瑞金机场</w:t>
      </w:r>
    </w:p>
    <w:p>
      <w:pPr>
        <w:pStyle w:val="2"/>
        <w:numPr>
          <w:ilvl w:val="0"/>
          <w:numId w:val="1"/>
        </w:numPr>
        <w:ind w:firstLineChars="0"/>
        <w:jc w:val="both"/>
        <w:rPr>
          <w:rFonts w:hint="eastAsia" w:eastAsia="仿宋_GB2312" w:cs="仿宋_GB2312"/>
          <w:bCs/>
          <w:sz w:val="32"/>
          <w:szCs w:val="32"/>
        </w:rPr>
      </w:pPr>
      <w:r>
        <w:rPr>
          <w:rFonts w:hint="eastAsia" w:eastAsia="仿宋_GB2312" w:cs="仿宋_GB2312"/>
          <w:bCs/>
          <w:sz w:val="32"/>
          <w:szCs w:val="32"/>
        </w:rPr>
        <w:t>“一核两极多中心”</w:t>
      </w:r>
    </w:p>
    <w:p>
      <w:pPr>
        <w:pStyle w:val="2"/>
        <w:ind w:firstLine="0" w:firstLineChars="0"/>
        <w:jc w:val="both"/>
        <w:rPr>
          <w:rFonts w:hint="eastAsia" w:eastAsia="仿宋_GB2312" w:cs="仿宋_GB2312"/>
          <w:bCs/>
          <w:sz w:val="32"/>
          <w:szCs w:val="32"/>
        </w:rPr>
      </w:pPr>
      <w:r>
        <w:rPr>
          <w:rFonts w:hint="eastAsia" w:eastAsia="仿宋_GB2312" w:cs="仿宋_GB2312"/>
          <w:bCs/>
          <w:sz w:val="32"/>
          <w:szCs w:val="32"/>
        </w:rPr>
        <w:t>一核：以黄金机场、赣州西站、赣州国际陆港为核心的赣州中心城区门户枢纽</w:t>
      </w:r>
    </w:p>
    <w:p>
      <w:pPr>
        <w:pStyle w:val="2"/>
        <w:ind w:firstLine="0" w:firstLineChars="0"/>
        <w:jc w:val="both"/>
        <w:rPr>
          <w:rFonts w:hint="eastAsia" w:eastAsia="仿宋_GB2312" w:cs="仿宋_GB2312"/>
          <w:bCs/>
          <w:sz w:val="32"/>
          <w:szCs w:val="32"/>
        </w:rPr>
      </w:pPr>
      <w:r>
        <w:rPr>
          <w:rFonts w:hint="eastAsia" w:eastAsia="仿宋_GB2312" w:cs="仿宋_GB2312"/>
          <w:bCs/>
          <w:sz w:val="32"/>
          <w:szCs w:val="32"/>
        </w:rPr>
        <w:t>两极：瑞金、龙南综合交通枢纽</w:t>
      </w:r>
    </w:p>
    <w:p>
      <w:pPr>
        <w:pStyle w:val="2"/>
        <w:ind w:firstLine="0" w:firstLineChars="0"/>
        <w:jc w:val="both"/>
        <w:rPr>
          <w:rFonts w:hint="eastAsia"/>
        </w:rPr>
        <w:sectPr>
          <w:footnotePr>
            <w:numFmt w:val="decimalEnclosedCircleChinese"/>
          </w:footnotePr>
          <w:pgSz w:w="11906" w:h="16838"/>
          <w:pgMar w:top="2098" w:right="1587" w:bottom="2098" w:left="1587" w:header="851" w:footer="1701" w:gutter="0"/>
          <w:pgBorders>
            <w:top w:val="none" w:sz="0" w:space="0"/>
            <w:left w:val="none" w:sz="0" w:space="0"/>
            <w:bottom w:val="none" w:sz="0" w:space="0"/>
            <w:right w:val="none" w:sz="0" w:space="0"/>
          </w:pgBorders>
          <w:pgNumType w:fmt="decimal"/>
          <w:cols w:space="720" w:num="1"/>
          <w:docGrid w:type="linesAndChars" w:linePitch="574" w:charSpace="-2365"/>
        </w:sectPr>
      </w:pPr>
      <w:r>
        <w:rPr>
          <w:rFonts w:hint="eastAsia" w:eastAsia="仿宋_GB2312" w:cs="仿宋_GB2312"/>
          <w:bCs/>
          <w:sz w:val="32"/>
          <w:szCs w:val="32"/>
        </w:rPr>
        <w:t>多中心：市域内各县（市、区）交通枢纽</w:t>
      </w:r>
    </w:p>
    <w:p>
      <w:pPr>
        <w:spacing w:before="287" w:beforeLines="50" w:line="600" w:lineRule="exact"/>
        <w:rPr>
          <w:rFonts w:ascii="宋体" w:hAnsi="宋体" w:eastAsia="仿宋_GB2312" w:cs="仿宋_GB2312"/>
          <w:bCs/>
          <w:sz w:val="32"/>
          <w:szCs w:val="32"/>
        </w:rPr>
      </w:pPr>
      <w:r>
        <w:rPr>
          <w:rFonts w:hint="eastAsia" w:ascii="宋体" w:hAnsi="宋体" w:eastAsia="仿宋_GB2312" w:cs="仿宋_GB2312"/>
          <w:bCs/>
          <w:sz w:val="32"/>
          <w:szCs w:val="32"/>
        </w:rPr>
        <w:t>附</w:t>
      </w:r>
      <w:r>
        <w:rPr>
          <w:rFonts w:hint="eastAsia" w:ascii="宋体" w:hAnsi="宋体" w:eastAsia="仿宋_GB2312" w:cs="仿宋_GB2312"/>
          <w:bCs/>
          <w:sz w:val="32"/>
          <w:szCs w:val="32"/>
          <w:lang w:val="en-US" w:eastAsia="zh-CN"/>
        </w:rPr>
        <w:t>图</w:t>
      </w:r>
      <w:r>
        <w:rPr>
          <w:rFonts w:hint="eastAsia" w:ascii="宋体" w:hAnsi="宋体" w:eastAsia="仿宋_GB2312" w:cs="仿宋_GB2312"/>
          <w:bCs/>
          <w:sz w:val="32"/>
          <w:szCs w:val="32"/>
        </w:rPr>
        <w:t>：</w:t>
      </w:r>
      <w:r>
        <w:rPr>
          <w:rFonts w:ascii="宋体" w:hAnsi="宋体" w:eastAsia="仿宋_GB2312" w:cs="仿宋_GB2312"/>
          <w:bCs/>
          <w:sz w:val="32"/>
          <w:szCs w:val="32"/>
        </w:rPr>
        <w:t>1.</w:t>
      </w:r>
      <w:r>
        <w:rPr>
          <w:rFonts w:hint="eastAsia" w:ascii="宋体" w:hAnsi="宋体" w:eastAsia="仿宋_GB2312" w:cs="仿宋_GB2312"/>
          <w:bCs/>
          <w:sz w:val="32"/>
          <w:szCs w:val="32"/>
        </w:rPr>
        <w:t>赣州市跨区域综合运输大通道布局示意图</w:t>
      </w:r>
    </w:p>
    <w:p>
      <w:pPr>
        <w:spacing w:before="287" w:beforeLines="50" w:line="600" w:lineRule="exact"/>
        <w:ind w:firstLine="960" w:firstLineChars="300"/>
        <w:rPr>
          <w:rFonts w:ascii="宋体" w:hAnsi="宋体" w:eastAsia="仿宋_GB2312" w:cs="仿宋_GB2312"/>
          <w:bCs/>
          <w:sz w:val="32"/>
          <w:szCs w:val="32"/>
        </w:rPr>
      </w:pPr>
      <w:r>
        <w:rPr>
          <w:rFonts w:ascii="宋体" w:hAnsi="宋体" w:eastAsia="仿宋_GB2312" w:cs="仿宋_GB2312"/>
          <w:bCs/>
          <w:sz w:val="32"/>
          <w:szCs w:val="32"/>
        </w:rPr>
        <w:t>2.</w:t>
      </w:r>
      <w:r>
        <w:rPr>
          <w:rFonts w:hint="eastAsia" w:ascii="宋体" w:hAnsi="宋体" w:eastAsia="仿宋_GB2312" w:cs="仿宋_GB2312"/>
          <w:bCs/>
          <w:sz w:val="32"/>
          <w:szCs w:val="32"/>
        </w:rPr>
        <w:t>赣州市市内区域交通骨干通道布局示意图</w:t>
      </w:r>
    </w:p>
    <w:p>
      <w:pPr>
        <w:spacing w:before="287" w:beforeLines="50" w:line="600" w:lineRule="exact"/>
        <w:ind w:firstLine="960" w:firstLineChars="300"/>
        <w:rPr>
          <w:rFonts w:ascii="宋体" w:hAnsi="宋体" w:eastAsia="仿宋_GB2312" w:cs="仿宋_GB2312"/>
          <w:bCs/>
          <w:sz w:val="32"/>
          <w:szCs w:val="32"/>
        </w:rPr>
      </w:pPr>
      <w:r>
        <w:rPr>
          <w:rFonts w:ascii="宋体" w:hAnsi="宋体" w:eastAsia="仿宋_GB2312" w:cs="仿宋_GB2312"/>
          <w:bCs/>
          <w:sz w:val="32"/>
          <w:szCs w:val="32"/>
        </w:rPr>
        <w:t>3.</w:t>
      </w:r>
      <w:r>
        <w:rPr>
          <w:rFonts w:hint="eastAsia" w:ascii="宋体" w:hAnsi="宋体" w:eastAsia="仿宋_GB2312" w:cs="仿宋_GB2312"/>
          <w:bCs/>
          <w:sz w:val="32"/>
          <w:szCs w:val="32"/>
        </w:rPr>
        <w:t>赣州市铁路网规划布局示意图</w:t>
      </w:r>
    </w:p>
    <w:p>
      <w:pPr>
        <w:spacing w:before="287" w:beforeLines="50" w:line="600" w:lineRule="exact"/>
        <w:ind w:firstLine="960" w:firstLineChars="300"/>
        <w:rPr>
          <w:rFonts w:ascii="宋体" w:hAnsi="宋体" w:eastAsia="仿宋_GB2312" w:cs="仿宋_GB2312"/>
          <w:bCs/>
          <w:sz w:val="32"/>
          <w:szCs w:val="32"/>
        </w:rPr>
      </w:pPr>
      <w:r>
        <w:rPr>
          <w:rFonts w:ascii="宋体" w:hAnsi="宋体" w:eastAsia="仿宋_GB2312" w:cs="仿宋_GB2312"/>
          <w:bCs/>
          <w:sz w:val="32"/>
          <w:szCs w:val="32"/>
        </w:rPr>
        <w:t>4.</w:t>
      </w:r>
      <w:r>
        <w:rPr>
          <w:rFonts w:hint="eastAsia" w:ascii="宋体" w:hAnsi="宋体" w:eastAsia="仿宋_GB2312" w:cs="仿宋_GB2312"/>
          <w:bCs/>
          <w:sz w:val="32"/>
          <w:szCs w:val="32"/>
        </w:rPr>
        <w:t>赣州市高速公路网规划布局示意图</w:t>
      </w:r>
    </w:p>
    <w:p>
      <w:pPr>
        <w:spacing w:before="287" w:beforeLines="50" w:line="600" w:lineRule="exact"/>
        <w:ind w:firstLine="960" w:firstLineChars="300"/>
        <w:rPr>
          <w:rFonts w:ascii="宋体" w:hAnsi="宋体" w:eastAsia="仿宋_GB2312" w:cs="仿宋_GB2312"/>
          <w:bCs/>
          <w:sz w:val="32"/>
          <w:szCs w:val="32"/>
        </w:rPr>
      </w:pPr>
      <w:r>
        <w:rPr>
          <w:rFonts w:ascii="宋体" w:hAnsi="宋体" w:eastAsia="仿宋_GB2312" w:cs="仿宋_GB2312"/>
          <w:bCs/>
          <w:sz w:val="32"/>
          <w:szCs w:val="32"/>
        </w:rPr>
        <w:t>5.</w:t>
      </w:r>
      <w:r>
        <w:rPr>
          <w:rFonts w:hint="eastAsia" w:ascii="宋体" w:hAnsi="宋体" w:eastAsia="仿宋_GB2312" w:cs="仿宋_GB2312"/>
          <w:bCs/>
          <w:sz w:val="32"/>
          <w:szCs w:val="32"/>
        </w:rPr>
        <w:t>赣州市内河航道与港口规划布局示意图</w:t>
      </w:r>
    </w:p>
    <w:p>
      <w:pPr>
        <w:spacing w:before="287" w:beforeLines="50" w:line="600" w:lineRule="exact"/>
        <w:ind w:firstLine="960" w:firstLineChars="300"/>
        <w:rPr>
          <w:rFonts w:ascii="宋体" w:hAnsi="宋体" w:eastAsia="仿宋_GB2312" w:cs="仿宋_GB2312"/>
          <w:bCs/>
          <w:sz w:val="32"/>
          <w:szCs w:val="32"/>
        </w:rPr>
      </w:pPr>
      <w:r>
        <w:rPr>
          <w:rFonts w:ascii="宋体" w:hAnsi="宋体" w:eastAsia="仿宋_GB2312" w:cs="仿宋_GB2312"/>
          <w:bCs/>
          <w:sz w:val="32"/>
          <w:szCs w:val="32"/>
        </w:rPr>
        <w:t>6.</w:t>
      </w:r>
      <w:r>
        <w:rPr>
          <w:rFonts w:hint="eastAsia" w:ascii="宋体" w:hAnsi="宋体" w:eastAsia="仿宋_GB2312" w:cs="仿宋_GB2312"/>
          <w:bCs/>
          <w:sz w:val="32"/>
          <w:szCs w:val="32"/>
        </w:rPr>
        <w:t>赣州市民用机场规划布局示意图</w:t>
      </w:r>
    </w:p>
    <w:p>
      <w:pPr>
        <w:spacing w:before="287" w:beforeLines="50" w:line="600" w:lineRule="exact"/>
        <w:ind w:firstLine="960" w:firstLineChars="300"/>
        <w:rPr>
          <w:rFonts w:ascii="宋体" w:hAnsi="宋体" w:eastAsia="仿宋_GB2312" w:cs="仿宋_GB2312"/>
          <w:bCs/>
          <w:sz w:val="32"/>
          <w:szCs w:val="32"/>
        </w:rPr>
      </w:pPr>
      <w:r>
        <w:rPr>
          <w:rFonts w:ascii="宋体" w:hAnsi="宋体" w:eastAsia="仿宋_GB2312" w:cs="仿宋_GB2312"/>
          <w:bCs/>
          <w:sz w:val="32"/>
          <w:szCs w:val="32"/>
        </w:rPr>
        <w:t>7.</w:t>
      </w:r>
      <w:r>
        <w:rPr>
          <w:rFonts w:hint="eastAsia" w:ascii="宋体" w:hAnsi="宋体" w:eastAsia="仿宋_GB2312" w:cs="仿宋_GB2312"/>
          <w:bCs/>
          <w:sz w:val="32"/>
          <w:szCs w:val="32"/>
        </w:rPr>
        <w:t>赣州市国省道网规划布局示意图</w:t>
      </w:r>
    </w:p>
    <w:p>
      <w:pPr>
        <w:spacing w:before="287" w:beforeLines="50" w:line="600" w:lineRule="exact"/>
        <w:ind w:firstLine="960" w:firstLineChars="300"/>
        <w:rPr>
          <w:rFonts w:ascii="宋体" w:hAnsi="宋体" w:eastAsia="仿宋_GB2312" w:cs="仿宋_GB2312"/>
          <w:bCs/>
          <w:sz w:val="32"/>
          <w:szCs w:val="32"/>
        </w:rPr>
      </w:pPr>
      <w:r>
        <w:rPr>
          <w:rFonts w:ascii="宋体" w:hAnsi="宋体" w:eastAsia="仿宋_GB2312" w:cs="仿宋_GB2312"/>
          <w:bCs/>
          <w:sz w:val="32"/>
          <w:szCs w:val="32"/>
        </w:rPr>
        <w:t>8.</w:t>
      </w:r>
      <w:r>
        <w:rPr>
          <w:rFonts w:hint="eastAsia" w:ascii="宋体" w:hAnsi="宋体" w:eastAsia="仿宋_GB2312" w:cs="仿宋_GB2312"/>
          <w:bCs/>
          <w:sz w:val="32"/>
          <w:szCs w:val="32"/>
        </w:rPr>
        <w:t>赣州市客运枢纽规划布局示意图</w:t>
      </w:r>
    </w:p>
    <w:p>
      <w:pPr>
        <w:spacing w:before="287" w:beforeLines="50" w:line="600" w:lineRule="exact"/>
        <w:ind w:firstLine="960" w:firstLineChars="300"/>
        <w:rPr>
          <w:rFonts w:hint="eastAsia" w:ascii="黑体" w:hAnsi="黑体" w:eastAsia="黑体" w:cs="黑体"/>
          <w:sz w:val="32"/>
          <w:szCs w:val="32"/>
          <w:lang w:val="en-US" w:eastAsia="zh-CN"/>
        </w:rPr>
      </w:pPr>
      <w:r>
        <w:rPr>
          <w:rFonts w:ascii="宋体" w:hAnsi="宋体" w:eastAsia="仿宋_GB2312" w:cs="仿宋_GB2312"/>
          <w:bCs/>
          <w:sz w:val="32"/>
          <w:szCs w:val="32"/>
        </w:rPr>
        <w:t>9.</w:t>
      </w:r>
      <w:r>
        <w:rPr>
          <w:rFonts w:hint="eastAsia" w:ascii="宋体" w:hAnsi="宋体" w:eastAsia="仿宋_GB2312" w:cs="仿宋_GB2312"/>
          <w:bCs/>
          <w:sz w:val="32"/>
          <w:szCs w:val="32"/>
        </w:rPr>
        <w:t>赣州市货运枢纽规划布局示意图</w:t>
      </w:r>
    </w:p>
    <w:sectPr>
      <w:footerReference r:id="rId5" w:type="default"/>
      <w:pgSz w:w="11900" w:h="16820"/>
      <w:pgMar w:top="1429" w:right="1432" w:bottom="1117" w:left="1670" w:header="0" w:footer="810" w:gutter="0"/>
      <w:pgBorders>
        <w:top w:val="none" w:sz="0" w:space="0"/>
        <w:left w:val="none" w:sz="0" w:space="0"/>
        <w:bottom w:val="none" w:sz="0" w:space="0"/>
        <w:right w:val="none" w:sz="0" w:space="0"/>
      </w:pgBorders>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7A"/>
    <w:family w:val="auto"/>
    <w:pitch w:val="default"/>
    <w:sig w:usb0="00000000" w:usb1="00000000" w:usb2="00000009" w:usb3="00000000" w:csb0="400001FF" w:csb1="FFFF0000"/>
  </w:font>
  <w:font w:name="宋体">
    <w:panose1 w:val="02010600030101010101"/>
    <w:charset w:val="7A"/>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 w:name="Microsoft YaHei">
    <w:panose1 w:val="020B0503020204020204"/>
    <w:charset w:val="86"/>
    <w:family w:val="auto"/>
    <w:pitch w:val="default"/>
    <w:sig w:usb0="80000287" w:usb1="2A0F3C52" w:usb2="00000016" w:usb3="00000000" w:csb0="0004001F" w:csb1="00000000"/>
  </w:font>
  <w:font w:name="Tahoma">
    <w:altName w:val="DejaVu Sans"/>
    <w:panose1 w:val="00000000000000000000"/>
    <w:charset w:val="00"/>
    <w:family w:val="auto"/>
    <w:pitch w:val="default"/>
    <w:sig w:usb0="00000000" w:usb1="00000000" w:usb2="00000000" w:usb3="00000000" w:csb0="00000000" w:csb1="00000000"/>
  </w:font>
  <w:font w:name="FreeSerif">
    <w:panose1 w:val="02020603050405020304"/>
    <w:charset w:val="00"/>
    <w:family w:val="auto"/>
    <w:pitch w:val="default"/>
    <w:sig w:usb0="E59FAFFF" w:usb1="C200FDFF" w:usb2="43501B29" w:usb3="04000043" w:csb0="600101FF" w:csb1="FFFF0000"/>
  </w:font>
  <w:font w:name="微软雅黑">
    <w:panose1 w:val="020B0503020204020204"/>
    <w:charset w:val="86"/>
    <w:family w:val="auto"/>
    <w:pitch w:val="default"/>
    <w:sig w:usb0="80000287" w:usb1="2A0F3C52" w:usb2="00000016" w:usb3="00000000" w:csb0="0004001F" w:csb1="00000000"/>
  </w:font>
  <w:font w:name="DejaVu Sans">
    <w:panose1 w:val="020B0603030804020204"/>
    <w:charset w:val="00"/>
    <w:family w:val="auto"/>
    <w:pitch w:val="default"/>
    <w:sig w:usb0="E7006EFF" w:usb1="D200FDFF" w:usb2="0A246029" w:usb3="0400200C" w:csb0="600001FF" w:csb1="DFFF0000"/>
  </w:font>
  <w:font w:name="宋体-PUA">
    <w:panose1 w:val="02010600030101010101"/>
    <w:charset w:val="86"/>
    <w:family w:val="auto"/>
    <w:pitch w:val="default"/>
    <w:sig w:usb0="00000000" w:usb1="1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208405" cy="230505"/>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208405" cy="230505"/>
                      </a:xfrm>
                      <a:prstGeom prst="rect">
                        <a:avLst/>
                      </a:prstGeom>
                      <a:noFill/>
                      <a:ln>
                        <a:noFill/>
                      </a:ln>
                    </wps:spPr>
                    <wps:txbx>
                      <w:txbxContent>
                        <w:p>
                          <w:pPr>
                            <w:pStyle w:val="9"/>
                            <w:ind w:right="315" w:rightChars="150" w:firstLine="319" w:firstLineChars="114"/>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lIns="0" tIns="0" rIns="0" bIns="0" upright="false">
                      <a:spAutoFit/>
                    </wps:bodyPr>
                  </wps:wsp>
                </a:graphicData>
              </a:graphic>
            </wp:anchor>
          </w:drawing>
        </mc:Choice>
        <mc:Fallback>
          <w:pict>
            <v:shape id="_x0000_s1026" o:spid="_x0000_s1026" o:spt="202" type="#_x0000_t202" style="position:absolute;left:0pt;margin-top:0pt;height:18.15pt;width:95.15pt;mso-position-horizontal:outside;mso-position-horizontal-relative:margin;z-index:251659264;mso-width-relative:page;mso-height-relative:page;" filled="f" stroked="f" coordsize="21600,21600" o:gfxdata="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FgAAAGRycy9Q&#10;SwECFAAUAAAACACHTuJA6Wvp+NQAAAAHAQAADwAAAAAAAAABACAAAAA4AAAAZHJzL2Rvd25yZXYu&#10;eG1sUEsBAhQAFAAAAAgAh07iQOVoXAiwAQAARQMAAA4AAAAAAAAAAQAgAAAAOQEAAGRycy9lMm9E&#10;b2MueG1sUEsFBgAAAAAGAAYAWQEAAFsFAAAAAA==&#10;">
              <v:fill on="f" focussize="0,0"/>
              <v:stroke on="f"/>
              <v:imagedata o:title=""/>
              <o:lock v:ext="edit" aspectratio="f"/>
              <v:textbox inset="0mm,0mm,0mm,0mm" style="mso-fit-shape-to-text:t;">
                <w:txbxContent>
                  <w:p>
                    <w:pPr>
                      <w:pStyle w:val="9"/>
                      <w:ind w:right="315" w:rightChars="150" w:firstLine="319" w:firstLineChars="114"/>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jc w:val="right"/>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10">
    <w:p>
      <w:r>
        <w:separator/>
      </w:r>
    </w:p>
  </w:footnote>
  <w:footnote w:type="continuationSeparator" w:id="11">
    <w:p>
      <w:r>
        <w:continuationSeparator/>
      </w:r>
    </w:p>
  </w:footnote>
  <w:footnote w:id="0">
    <w:p>
      <w:pPr>
        <w:pStyle w:val="11"/>
        <w:rPr>
          <w:rFonts w:hint="eastAsia"/>
        </w:rPr>
      </w:pPr>
      <w:r>
        <w:rPr>
          <w:rStyle w:val="18"/>
        </w:rPr>
        <w:footnoteRef/>
      </w:r>
      <w:r>
        <w:t xml:space="preserve"> </w:t>
      </w:r>
      <w:r>
        <w:rPr>
          <w:rFonts w:hint="eastAsia"/>
        </w:rPr>
        <w:t>“两纵”：京港澳通道、阜鹰汕通道；“三横”：渝长厦通道、蒙吉泉通道、韶赣厦通道。</w:t>
      </w:r>
    </w:p>
  </w:footnote>
  <w:footnote w:id="1">
    <w:p>
      <w:pPr>
        <w:pStyle w:val="11"/>
        <w:rPr>
          <w:rFonts w:hint="eastAsia"/>
        </w:rPr>
      </w:pPr>
      <w:r>
        <w:rPr>
          <w:rStyle w:val="18"/>
        </w:rPr>
        <w:footnoteRef/>
      </w:r>
      <w:r>
        <w:t xml:space="preserve"> </w:t>
      </w:r>
      <w:r>
        <w:rPr>
          <w:rFonts w:hint="eastAsia"/>
        </w:rPr>
        <w:t>“一港”：赣州港；“五区”：赣县港区、章贡港区、于都港区、南康港区和信丰港区。</w:t>
      </w:r>
    </w:p>
  </w:footnote>
  <w:footnote w:id="2">
    <w:p>
      <w:pPr>
        <w:pStyle w:val="11"/>
        <w:rPr>
          <w:rFonts w:hint="eastAsia"/>
        </w:rPr>
      </w:pPr>
      <w:r>
        <w:rPr>
          <w:rStyle w:val="18"/>
          <w:rFonts w:hint="eastAsia"/>
        </w:rPr>
        <w:t>③</w:t>
      </w:r>
      <w:r>
        <w:rPr>
          <w:rStyle w:val="18"/>
        </w:rPr>
        <w:t xml:space="preserve"> </w:t>
      </w:r>
      <w:r>
        <w:rPr>
          <w:rFonts w:hint="eastAsia"/>
        </w:rPr>
        <w:t>“一主”：赣县港区；“四重”：章贡港区、南康港区、于都港区、信丰港区。</w:t>
      </w:r>
    </w:p>
  </w:footnote>
  <w:footnote w:id="3">
    <w:p>
      <w:pPr>
        <w:pStyle w:val="11"/>
        <w:rPr>
          <w:rFonts w:hint="eastAsia"/>
        </w:rPr>
      </w:pPr>
      <w:r>
        <w:rPr>
          <w:rStyle w:val="18"/>
        </w:rPr>
        <w:footnoteRef/>
      </w:r>
      <w:r>
        <w:rPr>
          <w:rStyle w:val="18"/>
        </w:rPr>
        <w:t xml:space="preserve"> </w:t>
      </w:r>
      <w:r>
        <w:rPr>
          <w:rFonts w:hint="eastAsia"/>
        </w:rPr>
        <w:t>“一干”：赣州黄金机场；“一支”：赣州瑞金机场。</w:t>
      </w:r>
    </w:p>
  </w:footnote>
  <w:footnote w:id="4">
    <w:p>
      <w:pPr>
        <w:pStyle w:val="11"/>
        <w:rPr>
          <w:rFonts w:hint="eastAsia"/>
        </w:rPr>
      </w:pPr>
      <w:r>
        <w:rPr>
          <w:rStyle w:val="18"/>
        </w:rPr>
        <w:footnoteRef/>
      </w:r>
      <w:r>
        <w:t xml:space="preserve"> </w:t>
      </w:r>
      <w:r>
        <w:rPr>
          <w:rFonts w:hint="eastAsia"/>
        </w:rPr>
        <w:t>“一核”指以黄金机场、赣州西站、赣州国际陆港为核心的赣州中心城区门户枢纽；“两极”指瑞金、龙南交通枢纽；“多中心”指市域内各县（市、区）交通枢纽。</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2054DE"/>
    <w:multiLevelType w:val="multilevel"/>
    <w:tmpl w:val="0C2054DE"/>
    <w:lvl w:ilvl="0" w:tentative="0">
      <w:start w:val="1"/>
      <w:numFmt w:val="decimalEnclosedCircle"/>
      <w:lvlText w:val="%1"/>
      <w:lvlJc w:val="left"/>
      <w:pPr>
        <w:ind w:left="360" w:hanging="360"/>
      </w:pPr>
      <w:rPr>
        <w:rFonts w:hint="eastAsia" w:ascii="仿宋_GB2312" w:eastAsia="仿宋_GB2312"/>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true"/>
  <w:documentProtection w:enforcement="0"/>
  <w:defaultTabStop w:val="420"/>
  <w:noPunctuationKerning w:val="true"/>
  <w:characterSpacingControl w:val="doNotCompress"/>
  <w:footnotePr>
    <w:numFmt w:val="decimalEnclosedCircleChinese"/>
    <w:footnote w:id="10"/>
    <w:footnote w:id="11"/>
  </w:footnotePr>
  <w:compat>
    <w:spaceForUL/>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U5YTk2NWU3OTRhNTU0YjZlNWE0ODExMjY4YzM0MTgifQ=="/>
  </w:docVars>
  <w:rsids>
    <w:rsidRoot w:val="00F2108B"/>
    <w:rsid w:val="00054AB0"/>
    <w:rsid w:val="00264167"/>
    <w:rsid w:val="00286188"/>
    <w:rsid w:val="00A27143"/>
    <w:rsid w:val="00C1320D"/>
    <w:rsid w:val="00F2108B"/>
    <w:rsid w:val="02CC204A"/>
    <w:rsid w:val="05BE4789"/>
    <w:rsid w:val="07433BC1"/>
    <w:rsid w:val="0A06339F"/>
    <w:rsid w:val="0E7112CD"/>
    <w:rsid w:val="0E87016B"/>
    <w:rsid w:val="13BF535F"/>
    <w:rsid w:val="173C62A0"/>
    <w:rsid w:val="17EF3CDE"/>
    <w:rsid w:val="194A31E4"/>
    <w:rsid w:val="1BC1139B"/>
    <w:rsid w:val="1D9137E4"/>
    <w:rsid w:val="20CE2C87"/>
    <w:rsid w:val="20E4687A"/>
    <w:rsid w:val="21BE0F4D"/>
    <w:rsid w:val="22F75138"/>
    <w:rsid w:val="2A8A0E37"/>
    <w:rsid w:val="2CC644E9"/>
    <w:rsid w:val="2D5E7212"/>
    <w:rsid w:val="2E5314D2"/>
    <w:rsid w:val="2F2E6488"/>
    <w:rsid w:val="340D31B4"/>
    <w:rsid w:val="349F39C5"/>
    <w:rsid w:val="351F7105"/>
    <w:rsid w:val="37FBAE04"/>
    <w:rsid w:val="3B0C570F"/>
    <w:rsid w:val="3DBEF3B8"/>
    <w:rsid w:val="3E9E773C"/>
    <w:rsid w:val="3EE27F46"/>
    <w:rsid w:val="3F4F2E08"/>
    <w:rsid w:val="3FFEC581"/>
    <w:rsid w:val="406C5ACF"/>
    <w:rsid w:val="410F5132"/>
    <w:rsid w:val="4770385D"/>
    <w:rsid w:val="47EF15B1"/>
    <w:rsid w:val="4AD87439"/>
    <w:rsid w:val="4BE40D01"/>
    <w:rsid w:val="4D4952BF"/>
    <w:rsid w:val="4EF86132"/>
    <w:rsid w:val="4F530677"/>
    <w:rsid w:val="54AB2D04"/>
    <w:rsid w:val="575642B2"/>
    <w:rsid w:val="5A2366F1"/>
    <w:rsid w:val="5B9C6E4B"/>
    <w:rsid w:val="5E7F790D"/>
    <w:rsid w:val="5E844AC0"/>
    <w:rsid w:val="5F7F3F33"/>
    <w:rsid w:val="5FBF8578"/>
    <w:rsid w:val="61C00D31"/>
    <w:rsid w:val="62145C5D"/>
    <w:rsid w:val="62C03E1E"/>
    <w:rsid w:val="63195D66"/>
    <w:rsid w:val="66BB4A1E"/>
    <w:rsid w:val="675E729D"/>
    <w:rsid w:val="69F267A5"/>
    <w:rsid w:val="6A1F58CE"/>
    <w:rsid w:val="6B880210"/>
    <w:rsid w:val="744B02AA"/>
    <w:rsid w:val="74DD2BFA"/>
    <w:rsid w:val="759D8870"/>
    <w:rsid w:val="76BBC99C"/>
    <w:rsid w:val="7723208E"/>
    <w:rsid w:val="77E769CA"/>
    <w:rsid w:val="79586009"/>
    <w:rsid w:val="7B201200"/>
    <w:rsid w:val="7D277CE1"/>
    <w:rsid w:val="7DCF43EB"/>
    <w:rsid w:val="7E704F9D"/>
    <w:rsid w:val="7EFE25C9"/>
    <w:rsid w:val="7F6E7B3A"/>
    <w:rsid w:val="7FFFAEB4"/>
    <w:rsid w:val="BFFE3119"/>
    <w:rsid w:val="CECF666B"/>
    <w:rsid w:val="D775E99F"/>
    <w:rsid w:val="EDF5F760"/>
    <w:rsid w:val="EDFD99E9"/>
    <w:rsid w:val="EF8F9472"/>
    <w:rsid w:val="F7F786E3"/>
    <w:rsid w:val="FBBEB743"/>
    <w:rsid w:val="FDD71E03"/>
    <w:rsid w:val="FF8F061F"/>
    <w:rsid w:val="FFEEA38A"/>
    <w:rsid w:val="FFEF27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5">
    <w:name w:val="heading 1"/>
    <w:basedOn w:val="1"/>
    <w:next w:val="1"/>
    <w:qFormat/>
    <w:uiPriority w:val="0"/>
    <w:pPr>
      <w:spacing w:beforeAutospacing="1" w:afterAutospacing="1"/>
      <w:outlineLvl w:val="0"/>
    </w:pPr>
    <w:rPr>
      <w:rFonts w:hint="eastAsia" w:ascii="宋体" w:hAnsi="宋体" w:eastAsia="宋体" w:cs="Times New Roman"/>
      <w:b/>
      <w:bCs/>
      <w:kern w:val="44"/>
      <w:sz w:val="48"/>
      <w:szCs w:val="48"/>
    </w:rPr>
  </w:style>
  <w:style w:type="paragraph" w:styleId="6">
    <w:name w:val="heading 2"/>
    <w:basedOn w:val="1"/>
    <w:next w:val="1"/>
    <w:qFormat/>
    <w:uiPriority w:val="9"/>
    <w:pPr>
      <w:keepNext/>
      <w:keepLines/>
      <w:spacing w:before="260" w:after="260" w:line="416" w:lineRule="auto"/>
      <w:outlineLvl w:val="1"/>
    </w:pPr>
    <w:rPr>
      <w:rFonts w:ascii="Cambria" w:hAnsi="Cambria" w:eastAsia="宋体" w:cs="Times New Roman"/>
      <w:b/>
      <w:bCs/>
      <w:sz w:val="32"/>
      <w:szCs w:val="32"/>
    </w:rPr>
  </w:style>
  <w:style w:type="paragraph" w:styleId="7">
    <w:name w:val="heading 3"/>
    <w:basedOn w:val="1"/>
    <w:next w:val="1"/>
    <w:qFormat/>
    <w:uiPriority w:val="0"/>
    <w:pPr>
      <w:keepNext/>
      <w:keepLines/>
      <w:spacing w:before="260" w:after="260" w:line="416" w:lineRule="auto"/>
      <w:outlineLvl w:val="2"/>
    </w:pPr>
    <w:rPr>
      <w:rFonts w:ascii="Calibri" w:hAnsi="Calibri" w:eastAsia="宋体" w:cs="Times New Roman"/>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widowControl w:val="0"/>
      <w:spacing w:after="0" w:afterLines="0"/>
      <w:ind w:firstLine="420" w:firstLineChars="100"/>
      <w:jc w:val="both"/>
    </w:pPr>
    <w:rPr>
      <w:rFonts w:ascii="宋体" w:hAnsi="宋体" w:eastAsia="宋体" w:cs="Times New Roman"/>
      <w:kern w:val="0"/>
      <w:sz w:val="28"/>
      <w:szCs w:val="24"/>
      <w:lang w:val="en-US" w:eastAsia="zh-CN" w:bidi="ar-SA"/>
    </w:rPr>
  </w:style>
  <w:style w:type="paragraph" w:styleId="3">
    <w:name w:val="Body Text"/>
    <w:basedOn w:val="1"/>
    <w:next w:val="4"/>
    <w:qFormat/>
    <w:uiPriority w:val="1"/>
    <w:pPr>
      <w:ind w:left="149"/>
    </w:pPr>
    <w:rPr>
      <w:rFonts w:hint="eastAsia" w:ascii="宋体" w:hAnsi="宋体"/>
      <w:sz w:val="32"/>
      <w:szCs w:val="32"/>
    </w:rPr>
  </w:style>
  <w:style w:type="paragraph" w:customStyle="1" w:styleId="4">
    <w:name w:val="Default"/>
    <w:unhideWhenUsed/>
    <w:qFormat/>
    <w:uiPriority w:val="0"/>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paragraph" w:styleId="8">
    <w:name w:val="Normal Indent"/>
    <w:basedOn w:val="1"/>
    <w:unhideWhenUsed/>
    <w:qFormat/>
    <w:uiPriority w:val="99"/>
    <w:pPr>
      <w:ind w:firstLine="420" w:firstLineChars="200"/>
    </w:pPr>
  </w:style>
  <w:style w:type="paragraph" w:styleId="9">
    <w:name w:val="footer"/>
    <w:basedOn w:val="1"/>
    <w:link w:val="22"/>
    <w:qFormat/>
    <w:uiPriority w:val="0"/>
    <w:pPr>
      <w:tabs>
        <w:tab w:val="center" w:pos="4153"/>
        <w:tab w:val="right" w:pos="8306"/>
      </w:tabs>
    </w:pPr>
    <w:rPr>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11">
    <w:name w:val="footnote text"/>
    <w:basedOn w:val="1"/>
    <w:qFormat/>
    <w:uiPriority w:val="0"/>
    <w:pPr>
      <w:snapToGrid w:val="0"/>
      <w:jc w:val="left"/>
    </w:pPr>
    <w:rPr>
      <w:rFonts w:ascii="Times New Roman" w:hAnsi="Times New Roman" w:eastAsia="宋体" w:cs="Times New Roman"/>
      <w:sz w:val="18"/>
      <w:szCs w:val="18"/>
    </w:rPr>
  </w:style>
  <w:style w:type="paragraph" w:styleId="12">
    <w:name w:val="Normal (Web)"/>
    <w:basedOn w:val="1"/>
    <w:next w:val="1"/>
    <w:qFormat/>
    <w:uiPriority w:val="0"/>
    <w:pPr>
      <w:spacing w:beforeAutospacing="1" w:afterAutospacing="1"/>
    </w:pPr>
    <w:rPr>
      <w:rFonts w:cs="Times New Roman"/>
      <w:sz w:val="24"/>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0"/>
    <w:rPr>
      <w:b/>
    </w:rPr>
  </w:style>
  <w:style w:type="character" w:styleId="17">
    <w:name w:val="page number"/>
    <w:qFormat/>
    <w:uiPriority w:val="0"/>
  </w:style>
  <w:style w:type="character" w:styleId="18">
    <w:name w:val="footnote reference"/>
    <w:qFormat/>
    <w:uiPriority w:val="0"/>
    <w:rPr>
      <w:rFonts w:ascii="Times New Roman" w:hAnsi="Times New Roman" w:eastAsia="宋体" w:cs="Times New Roman"/>
      <w:vertAlign w:val="superscript"/>
    </w:rPr>
  </w:style>
  <w:style w:type="paragraph" w:customStyle="1" w:styleId="19">
    <w:name w:val="正文首行缩进 21"/>
    <w:basedOn w:val="20"/>
    <w:next w:val="12"/>
    <w:qFormat/>
    <w:uiPriority w:val="0"/>
    <w:pPr>
      <w:spacing w:afterAutospacing="1"/>
      <w:ind w:firstLine="200" w:firstLineChars="200"/>
    </w:pPr>
    <w:rPr>
      <w:rFonts w:eastAsia="仿宋_GB2312"/>
      <w:sz w:val="24"/>
    </w:rPr>
  </w:style>
  <w:style w:type="paragraph" w:customStyle="1" w:styleId="20">
    <w:name w:val="正文文本缩进1"/>
    <w:basedOn w:val="1"/>
    <w:qFormat/>
    <w:uiPriority w:val="0"/>
    <w:pPr>
      <w:ind w:left="200" w:leftChars="200"/>
    </w:pPr>
  </w:style>
  <w:style w:type="table" w:customStyle="1" w:styleId="21">
    <w:name w:val="Table Normal"/>
    <w:semiHidden/>
    <w:unhideWhenUsed/>
    <w:qFormat/>
    <w:uiPriority w:val="0"/>
    <w:tblPr>
      <w:tblCellMar>
        <w:top w:w="0" w:type="dxa"/>
        <w:left w:w="0" w:type="dxa"/>
        <w:bottom w:w="0" w:type="dxa"/>
        <w:right w:w="0" w:type="dxa"/>
      </w:tblCellMar>
    </w:tblPr>
  </w:style>
  <w:style w:type="character" w:customStyle="1" w:styleId="22">
    <w:name w:val="页脚 字符"/>
    <w:basedOn w:val="15"/>
    <w:link w:val="9"/>
    <w:qFormat/>
    <w:uiPriority w:val="0"/>
    <w:rPr>
      <w:rFonts w:ascii="Arial" w:hAnsi="Arial" w:eastAsia="Arial" w:cs="Arial"/>
      <w:snapToGrid w:val="0"/>
      <w:color w:val="000000"/>
      <w:sz w:val="18"/>
      <w:szCs w:val="18"/>
    </w:rPr>
  </w:style>
  <w:style w:type="paragraph" w:customStyle="1" w:styleId="23">
    <w:name w:val="Revision"/>
    <w:hidden/>
    <w:unhideWhenUsed/>
    <w:qFormat/>
    <w:uiPriority w:val="99"/>
    <w:rPr>
      <w:rFonts w:ascii="Arial" w:hAnsi="Arial" w:eastAsia="Arial" w:cs="Arial"/>
      <w:snapToGrid w:val="0"/>
      <w:color w:val="000000"/>
      <w:sz w:val="21"/>
      <w:szCs w:val="21"/>
      <w:lang w:val="en-US" w:eastAsia="zh-CN" w:bidi="ar-SA"/>
    </w:rPr>
  </w:style>
  <w:style w:type="paragraph" w:customStyle="1" w:styleId="24">
    <w:name w:val="_Style 84"/>
    <w:basedOn w:val="3"/>
    <w:next w:val="2"/>
    <w:qFormat/>
    <w:uiPriority w:val="0"/>
    <w:pPr>
      <w:ind w:firstLine="420" w:firstLineChars="100"/>
    </w:pPr>
    <w:rPr>
      <w:rFonts w:ascii="宋体" w:hAnsi="宋体" w:eastAsia="宋体"/>
      <w:kern w:val="0"/>
      <w:sz w:val="28"/>
    </w:rPr>
  </w:style>
  <w:style w:type="paragraph" w:customStyle="1" w:styleId="25">
    <w:name w:val="_Style 83"/>
    <w:basedOn w:val="3"/>
    <w:next w:val="2"/>
    <w:qFormat/>
    <w:uiPriority w:val="0"/>
    <w:pPr>
      <w:ind w:firstLine="420" w:firstLineChars="100"/>
    </w:pPr>
    <w:rPr>
      <w:rFonts w:ascii="宋体" w:hAnsi="宋体" w:eastAsia="宋体"/>
      <w:kern w:val="0"/>
      <w:sz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2963</Words>
  <Characters>3041</Characters>
  <Lines>4</Lines>
  <Paragraphs>1</Paragraphs>
  <TotalTime>10</TotalTime>
  <ScaleCrop>false</ScaleCrop>
  <LinksUpToDate>false</LinksUpToDate>
  <CharactersWithSpaces>3115</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2023-12-03T09:19:00Z</dcterms:created>
  <dc:creator>Kingsoft-PDF</dc:creator>
  <cp:lastModifiedBy>LCY</cp:lastModifiedBy>
  <dcterms:modified xsi:type="dcterms:W3CDTF">2025-11-21T10:52:30Z</dcterms:modified>
  <dc:subject>pdfbuilder</dc:subject>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2022-12-13T18:19:07Z</vt:filetime>
  </property>
  <property fmtid="{D5CDD505-2E9C-101B-9397-08002B2CF9AE}" pid="4" name="UsrData">
    <vt:lpwstr>6398518bc1ea6f0016291463</vt:lpwstr>
  </property>
  <property fmtid="{D5CDD505-2E9C-101B-9397-08002B2CF9AE}" pid="5" name="KSOProductBuildVer">
    <vt:lpwstr>2052-11.8.2.10458</vt:lpwstr>
  </property>
  <property fmtid="{D5CDD505-2E9C-101B-9397-08002B2CF9AE}" pid="6" name="ICV">
    <vt:lpwstr>BF49C6A66CD34D12A7AE0DE80F83A58F_13</vt:lpwstr>
  </property>
  <property fmtid="{D5CDD505-2E9C-101B-9397-08002B2CF9AE}" pid="7" name="KSOTemplateDocerSaveRecord">
    <vt:lpwstr>eyJoZGlkIjoiNGU5YTk2NWU3OTRhNTU0YjZlNWE0ODExMjY4YzM0MTgiLCJ1c2VySWQiOiI2MjA4NDI5MTQifQ==</vt:lpwstr>
  </property>
</Properties>
</file>