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7DBF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6"/>
          <w:kern w:val="0"/>
          <w:sz w:val="44"/>
          <w:szCs w:val="44"/>
          <w:bdr w:val="none" w:color="auto" w:sz="0" w:space="0"/>
          <w:shd w:val="clear" w:fill="FFFFFF"/>
          <w:lang w:val="en-US" w:eastAsia="zh-CN" w:bidi="ar"/>
        </w:rPr>
        <w:t>赣州市人民政府办公室</w:t>
      </w:r>
      <w:r>
        <w:rPr>
          <w:rFonts w:hint="eastAsia" w:ascii="方正小标宋简体" w:hAnsi="方正小标宋简体" w:eastAsia="方正小标宋简体" w:cs="方正小标宋简体"/>
          <w:i w:val="0"/>
          <w:iCs w:val="0"/>
          <w:caps w:val="0"/>
          <w:color w:val="000000"/>
          <w:spacing w:val="6"/>
          <w:kern w:val="0"/>
          <w:sz w:val="44"/>
          <w:szCs w:val="44"/>
          <w:bdr w:val="none" w:color="auto" w:sz="0" w:space="0"/>
          <w:shd w:val="clear" w:fill="FFFFFF"/>
          <w:lang w:val="en-US" w:eastAsia="zh-CN" w:bidi="ar"/>
        </w:rPr>
        <w:t>关于印发</w:t>
      </w:r>
    </w:p>
    <w:p w14:paraId="1228D5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bookmarkStart w:id="0" w:name="_GoBack"/>
      <w:r>
        <w:rPr>
          <w:rFonts w:hint="eastAsia" w:ascii="方正小标宋简体" w:hAnsi="方正小标宋简体" w:eastAsia="方正小标宋简体" w:cs="方正小标宋简体"/>
          <w:i w:val="0"/>
          <w:iCs w:val="0"/>
          <w:caps w:val="0"/>
          <w:color w:val="000000"/>
          <w:spacing w:val="6"/>
          <w:kern w:val="0"/>
          <w:sz w:val="44"/>
          <w:szCs w:val="44"/>
          <w:bdr w:val="none" w:color="auto" w:sz="0" w:space="0"/>
          <w:shd w:val="clear" w:fill="FFFFFF"/>
          <w:lang w:val="en-US" w:eastAsia="zh-CN" w:bidi="ar"/>
        </w:rPr>
        <w:t>赣州市</w:t>
      </w:r>
      <w:r>
        <w:rPr>
          <w:rFonts w:hint="eastAsia" w:ascii="宋体" w:hAnsi="宋体" w:eastAsia="宋体" w:cs="宋体"/>
          <w:i w:val="0"/>
          <w:iCs w:val="0"/>
          <w:caps w:val="0"/>
          <w:color w:val="000000"/>
          <w:spacing w:val="-4"/>
          <w:kern w:val="0"/>
          <w:sz w:val="44"/>
          <w:szCs w:val="44"/>
          <w:bdr w:val="none" w:color="auto" w:sz="0" w:space="0"/>
          <w:shd w:val="clear" w:fill="FFFFFF"/>
          <w:lang w:val="en-US" w:eastAsia="zh-CN" w:bidi="ar"/>
        </w:rPr>
        <w:t>2022</w:t>
      </w:r>
      <w:r>
        <w:rPr>
          <w:rFonts w:hint="eastAsia" w:ascii="方正小标宋简体" w:hAnsi="方正小标宋简体" w:eastAsia="方正小标宋简体" w:cs="方正小标宋简体"/>
          <w:i w:val="0"/>
          <w:iCs w:val="0"/>
          <w:caps w:val="0"/>
          <w:color w:val="000000"/>
          <w:spacing w:val="-4"/>
          <w:kern w:val="0"/>
          <w:sz w:val="44"/>
          <w:szCs w:val="44"/>
          <w:bdr w:val="none" w:color="auto" w:sz="0" w:space="0"/>
          <w:shd w:val="clear" w:fill="FFFFFF"/>
          <w:lang w:val="en-US" w:eastAsia="zh-CN" w:bidi="ar"/>
        </w:rPr>
        <w:t>年蔬菜产业发展工作方案</w:t>
      </w:r>
      <w:bookmarkEnd w:id="0"/>
      <w:r>
        <w:rPr>
          <w:rFonts w:hint="eastAsia" w:ascii="方正小标宋简体" w:hAnsi="方正小标宋简体" w:eastAsia="方正小标宋简体" w:cs="方正小标宋简体"/>
          <w:i w:val="0"/>
          <w:iCs w:val="0"/>
          <w:caps w:val="0"/>
          <w:color w:val="000000"/>
          <w:spacing w:val="-4"/>
          <w:kern w:val="0"/>
          <w:sz w:val="44"/>
          <w:szCs w:val="44"/>
          <w:bdr w:val="none" w:color="auto" w:sz="0" w:space="0"/>
          <w:shd w:val="clear" w:fill="FFFFFF"/>
          <w:lang w:val="en-US" w:eastAsia="zh-CN" w:bidi="ar"/>
        </w:rPr>
        <w:t>的通知</w:t>
      </w:r>
    </w:p>
    <w:p w14:paraId="5713F6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81"/>
        <w:jc w:val="both"/>
        <w:rPr>
          <w:rFonts w:ascii="Calibri" w:hAnsi="Calibri" w:cs="Calibri"/>
          <w:i w:val="0"/>
          <w:iCs w:val="0"/>
          <w:caps w:val="0"/>
          <w:color w:val="333333"/>
          <w:spacing w:val="0"/>
          <w:sz w:val="21"/>
          <w:szCs w:val="21"/>
        </w:rPr>
      </w:pPr>
      <w:r>
        <w:rPr>
          <w:rFonts w:hint="eastAsia" w:ascii="宋体" w:hAnsi="宋体" w:eastAsia="宋体" w:cs="宋体"/>
          <w:i w:val="0"/>
          <w:iCs w:val="0"/>
          <w:caps w:val="0"/>
          <w:color w:val="000000"/>
          <w:spacing w:val="-4"/>
          <w:sz w:val="21"/>
          <w:szCs w:val="21"/>
          <w:bdr w:val="none" w:color="auto" w:sz="0" w:space="0"/>
          <w:shd w:val="clear" w:fill="FFFFFF"/>
        </w:rPr>
        <w:t> </w:t>
      </w:r>
    </w:p>
    <w:p w14:paraId="06F127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default" w:ascii="Calibri" w:hAnsi="Calibri" w:cs="Calibri"/>
          <w:i w:val="0"/>
          <w:iCs w:val="0"/>
          <w:caps w:val="0"/>
          <w:color w:val="333333"/>
          <w:spacing w:val="0"/>
          <w:sz w:val="21"/>
          <w:szCs w:val="21"/>
        </w:rPr>
      </w:pPr>
      <w:r>
        <w:rPr>
          <w:rFonts w:ascii="仿宋_GB2312" w:hAnsi="Calibri" w:eastAsia="仿宋_GB2312" w:cs="仿宋_GB2312"/>
          <w:i w:val="0"/>
          <w:iCs w:val="0"/>
          <w:caps w:val="0"/>
          <w:color w:val="000000"/>
          <w:spacing w:val="-2"/>
          <w:sz w:val="32"/>
          <w:szCs w:val="32"/>
          <w:bdr w:val="none" w:color="auto" w:sz="0" w:space="0"/>
          <w:shd w:val="clear" w:fill="FFFFFF"/>
        </w:rPr>
        <w:t>各县（市、区）人民政府，市政府有关部门，市属、驻市有关单位：</w:t>
      </w:r>
    </w:p>
    <w:p w14:paraId="42AB54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7"/>
        <w:jc w:val="both"/>
        <w:rPr>
          <w:rFonts w:hint="default" w:ascii="Calibri" w:hAnsi="Calibri" w:cs="Calibri"/>
          <w:i w:val="0"/>
          <w:iCs w:val="0"/>
          <w:caps w:val="0"/>
          <w:color w:val="333333"/>
          <w:spacing w:val="0"/>
          <w:sz w:val="21"/>
          <w:szCs w:val="21"/>
        </w:rPr>
      </w:pPr>
      <w:r>
        <w:rPr>
          <w:rFonts w:hint="eastAsia" w:ascii="仿宋_GB2312" w:hAnsi="Calibri" w:eastAsia="仿宋_GB2312" w:cs="仿宋_GB2312"/>
          <w:i w:val="0"/>
          <w:iCs w:val="0"/>
          <w:caps w:val="0"/>
          <w:color w:val="000000"/>
          <w:spacing w:val="0"/>
          <w:sz w:val="32"/>
          <w:szCs w:val="32"/>
          <w:bdr w:val="none" w:color="auto" w:sz="0" w:space="0"/>
          <w:shd w:val="clear" w:fill="FFFFFF"/>
        </w:rPr>
        <w:t>经市政府同意，现将《赣州市</w:t>
      </w:r>
      <w:r>
        <w:rPr>
          <w:rFonts w:hint="eastAsia" w:ascii="宋体" w:hAnsi="宋体" w:eastAsia="宋体" w:cs="宋体"/>
          <w:i w:val="0"/>
          <w:iCs w:val="0"/>
          <w:caps w:val="0"/>
          <w:color w:val="000000"/>
          <w:spacing w:val="0"/>
          <w:sz w:val="32"/>
          <w:szCs w:val="32"/>
          <w:bdr w:val="none" w:color="auto" w:sz="0" w:space="0"/>
          <w:shd w:val="clear" w:fill="FFFFFF"/>
        </w:rPr>
        <w:t>2022</w:t>
      </w:r>
      <w:r>
        <w:rPr>
          <w:rFonts w:hint="eastAsia" w:ascii="仿宋_GB2312" w:hAnsi="Calibri" w:eastAsia="仿宋_GB2312" w:cs="仿宋_GB2312"/>
          <w:i w:val="0"/>
          <w:iCs w:val="0"/>
          <w:caps w:val="0"/>
          <w:color w:val="000000"/>
          <w:spacing w:val="0"/>
          <w:sz w:val="32"/>
          <w:szCs w:val="32"/>
          <w:bdr w:val="none" w:color="auto" w:sz="0" w:space="0"/>
          <w:shd w:val="clear" w:fill="FFFFFF"/>
        </w:rPr>
        <w:t>年蔬菜产业发展工作方案》印发给你们，请结合实际，认真抓好贯彻落实。</w:t>
      </w:r>
    </w:p>
    <w:p w14:paraId="2E6285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269D03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6BB7E4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5D7B7B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360415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1217" w:firstLine="584"/>
        <w:jc w:val="right"/>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2022</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年</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月</w:t>
      </w:r>
      <w:r>
        <w:rPr>
          <w:rFonts w:hint="eastAsia" w:ascii="宋体" w:hAnsi="宋体" w:eastAsia="宋体" w:cs="宋体"/>
          <w:i w:val="0"/>
          <w:iCs w:val="0"/>
          <w:caps w:val="0"/>
          <w:color w:val="333333"/>
          <w:spacing w:val="4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333333"/>
          <w:spacing w:val="40"/>
          <w:kern w:val="0"/>
          <w:sz w:val="32"/>
          <w:szCs w:val="32"/>
          <w:bdr w:val="none" w:color="auto" w:sz="0" w:space="0"/>
          <w:shd w:val="clear" w:fill="FFFFFF"/>
          <w:lang w:val="en-US" w:eastAsia="zh-CN" w:bidi="ar"/>
        </w:rPr>
        <w:t>日</w:t>
      </w:r>
    </w:p>
    <w:p w14:paraId="2A7041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（此件主动公开）</w:t>
      </w:r>
    </w:p>
    <w:p w14:paraId="3CA8B1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 </w:t>
      </w:r>
    </w:p>
    <w:p w14:paraId="123970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赣州市</w:t>
      </w:r>
      <w:r>
        <w:rPr>
          <w:rFonts w:hint="eastAsia" w:ascii="宋体" w:hAnsi="宋体" w:eastAsia="宋体" w:cs="宋体"/>
          <w:i w:val="0"/>
          <w:iCs w:val="0"/>
          <w:caps w:val="0"/>
          <w:color w:val="333333"/>
          <w:spacing w:val="0"/>
          <w:kern w:val="0"/>
          <w:sz w:val="44"/>
          <w:szCs w:val="44"/>
          <w:bdr w:val="none" w:color="auto" w:sz="0" w:space="0"/>
          <w:shd w:val="clear" w:fill="FFFFFF"/>
          <w:lang w:val="en-US" w:eastAsia="zh-CN" w:bidi="ar"/>
        </w:rPr>
        <w:t>2022</w:t>
      </w:r>
      <w:r>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年蔬菜产业发展工作方案</w:t>
      </w:r>
    </w:p>
    <w:p w14:paraId="0D7368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b/>
          <w:bCs/>
          <w:i w:val="0"/>
          <w:iCs w:val="0"/>
          <w:caps w:val="0"/>
          <w:color w:val="333333"/>
          <w:spacing w:val="0"/>
          <w:kern w:val="0"/>
          <w:sz w:val="32"/>
          <w:szCs w:val="32"/>
          <w:bdr w:val="none" w:color="auto" w:sz="0" w:space="0"/>
          <w:shd w:val="clear" w:fill="FFFFFF"/>
          <w:lang w:val="en-US" w:eastAsia="zh-CN" w:bidi="ar"/>
        </w:rPr>
        <w:t> </w:t>
      </w:r>
    </w:p>
    <w:p w14:paraId="069A7F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为贯彻落实市委、市政府发展蔬菜产业决策部署，加快构建现代蔬菜产业体系，综合提升产业发展质量，全面助力乡村产业振兴，结合我市实际，制定</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年工作方案如下。</w:t>
      </w:r>
    </w:p>
    <w:p w14:paraId="2388E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一、发展目标</w:t>
      </w:r>
    </w:p>
    <w:p w14:paraId="5DB2D7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按照政府引导、农民主体、绿色发展、提质增效的思路，突出品种培优、品质提升、品牌打造，开展蔬菜基地“</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万亩回头看”，全面实施蔬菜产业提升战略，进一步延伸产业链、巩固利益链、完善服务链，着力构建现代高效的蔬菜产业体系，推动蔬菜产业更高水平、更高质量发展。力争</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年，全面推动老旧基地基础设施改造和破旧棚膜更新，新建规模大棚设施蔬菜基地</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万亩、露地设施蔬菜基地</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万亩，新培育职业菜农</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5000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户；新增粤港澳大湾区“菜篮子”蔬菜生产基地</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家，认证富硒蔬菜产品</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个。通过引导农户务工就业、土地流转等方式，累计联结带动</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万户农户增收。</w:t>
      </w:r>
    </w:p>
    <w:p w14:paraId="54FB81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二、重点任务</w:t>
      </w:r>
    </w:p>
    <w:p w14:paraId="6A7C3D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ascii="楷体_GB2312" w:hAnsi="宋体" w:eastAsia="楷体_GB2312" w:cs="楷体_GB2312"/>
          <w:i w:val="0"/>
          <w:iCs w:val="0"/>
          <w:caps w:val="0"/>
          <w:color w:val="000000"/>
          <w:spacing w:val="0"/>
          <w:sz w:val="32"/>
          <w:szCs w:val="32"/>
          <w:bdr w:val="none" w:color="auto" w:sz="0" w:space="0"/>
          <w:shd w:val="clear" w:fill="FFFFFF"/>
        </w:rPr>
        <w:t>（一）提升巩固现有基地</w:t>
      </w:r>
    </w:p>
    <w:p w14:paraId="475A39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建立动态管理机制。全面摸排存量蔬菜基地运营情况，坚持动态跟踪，建立管理台账。对生产经营不善的基地，分类制定整改措施，实行销号管理。坚决杜绝空棚撂荒现象</w:t>
      </w:r>
      <w:r>
        <w:rPr>
          <w:rFonts w:hint="eastAsia" w:ascii="仿宋_GB2312" w:hAnsi="宋体" w:eastAsia="仿宋_GB2312" w:cs="仿宋_GB2312"/>
          <w:i w:val="0"/>
          <w:iCs w:val="0"/>
          <w:caps w:val="0"/>
          <w:color w:val="333333"/>
          <w:spacing w:val="0"/>
          <w:sz w:val="32"/>
          <w:szCs w:val="32"/>
          <w:bdr w:val="none" w:color="auto" w:sz="0" w:space="0"/>
          <w:shd w:val="clear" w:fill="FFFFFF"/>
        </w:rPr>
        <w:t>。</w:t>
      </w:r>
    </w:p>
    <w:p w14:paraId="5A9E2D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推动基地标准改造。区分类型、因棚施策，全面推动存量大棚设施基地标准化改造，完善排灌设施和道路沟渠等基础设施。鼓励有条件的单膜连栋大棚加装二膜，提升保温和设施功能。</w:t>
      </w:r>
    </w:p>
    <w:p w14:paraId="1DD92E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实施大棚焕新行动。全面清理修复老旧破损大棚，严格把控棚膜质量，推动三年以上老旧基地棚膜更新换代，做好废旧棚膜回收利用工作。</w:t>
      </w:r>
    </w:p>
    <w:p w14:paraId="599586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4.</w:t>
      </w:r>
      <w:r>
        <w:rPr>
          <w:rFonts w:hint="eastAsia" w:ascii="仿宋_GB2312" w:hAnsi="宋体" w:eastAsia="仿宋_GB2312" w:cs="仿宋_GB2312"/>
          <w:i w:val="0"/>
          <w:iCs w:val="0"/>
          <w:caps w:val="0"/>
          <w:color w:val="000000"/>
          <w:spacing w:val="0"/>
          <w:sz w:val="32"/>
          <w:szCs w:val="32"/>
          <w:bdr w:val="none" w:color="auto" w:sz="0" w:space="0"/>
          <w:shd w:val="clear" w:fill="FFFFFF"/>
        </w:rPr>
        <w:t>科学指导生产管理。指导蔬菜基地合理安排品种、茬口和农事，全面建立和落实年度生产种植计划，推进精耕细作，确保每个大棚有人种、种得好、有效益。</w:t>
      </w:r>
    </w:p>
    <w:p w14:paraId="2C70FE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（二）持续扩大设施规模</w:t>
      </w:r>
    </w:p>
    <w:p w14:paraId="79387E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优化产业发展布局。接续培育</w:t>
      </w:r>
      <w:r>
        <w:rPr>
          <w:rFonts w:hint="eastAsia" w:ascii="宋体" w:hAnsi="宋体" w:eastAsia="宋体" w:cs="宋体"/>
          <w:i w:val="0"/>
          <w:iCs w:val="0"/>
          <w:caps w:val="0"/>
          <w:color w:val="000000"/>
          <w:spacing w:val="0"/>
          <w:sz w:val="32"/>
          <w:szCs w:val="32"/>
          <w:bdr w:val="none" w:color="auto" w:sz="0" w:space="0"/>
          <w:shd w:val="clear" w:fill="FFFFFF"/>
        </w:rPr>
        <w:t>6</w:t>
      </w:r>
      <w:r>
        <w:rPr>
          <w:rFonts w:hint="eastAsia" w:ascii="仿宋_GB2312" w:hAnsi="宋体" w:eastAsia="仿宋_GB2312" w:cs="仿宋_GB2312"/>
          <w:i w:val="0"/>
          <w:iCs w:val="0"/>
          <w:caps w:val="0"/>
          <w:color w:val="000000"/>
          <w:spacing w:val="0"/>
          <w:sz w:val="32"/>
          <w:szCs w:val="32"/>
          <w:bdr w:val="none" w:color="auto" w:sz="0" w:space="0"/>
          <w:shd w:val="clear" w:fill="FFFFFF"/>
        </w:rPr>
        <w:t>个蔬菜产业重点县（市），集中精力打造</w:t>
      </w:r>
      <w:r>
        <w:rPr>
          <w:rFonts w:hint="eastAsia" w:ascii="宋体" w:hAnsi="宋体" w:eastAsia="宋体" w:cs="宋体"/>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宋体" w:hAnsi="宋体" w:eastAsia="宋体" w:cs="宋体"/>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个主导品种，加快形成单一产品主产区、优势区；其他县（市、区）重点发展茄果类、瓜果类等外向型设施基地，兼顾发展应季露地菜，逐步形成错位协同、特色突出的优势产业带。</w:t>
      </w:r>
    </w:p>
    <w:p w14:paraId="3D1F21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严把基地建设标准。严格规范基地建设程序，按照《赣州市设施蔬菜基地建设规范》，推动科学选址、标准建园，全面推广顶部竖式通风双膜连栋钢架大棚，提升基地建设质量和标准。</w:t>
      </w:r>
    </w:p>
    <w:p w14:paraId="613A30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积极创新投资渠道。以财政奖补资金激励，撬动社会资本、工商资本、金融资本投资发展蔬菜产业，引导职业菜农抱团、合作社、国有企业等投资建设大棚。</w:t>
      </w:r>
    </w:p>
    <w:p w14:paraId="32C32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7"/>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000000"/>
          <w:spacing w:val="0"/>
          <w:sz w:val="32"/>
          <w:szCs w:val="32"/>
          <w:bdr w:val="none" w:color="auto" w:sz="0" w:space="0"/>
          <w:shd w:val="clear" w:fill="FFFFFF"/>
        </w:rPr>
        <w:t>4.</w:t>
      </w:r>
      <w:r>
        <w:rPr>
          <w:rFonts w:hint="eastAsia" w:ascii="仿宋_GB2312" w:hAnsi="Calibri" w:eastAsia="仿宋_GB2312" w:cs="仿宋_GB2312"/>
          <w:i w:val="0"/>
          <w:iCs w:val="0"/>
          <w:caps w:val="0"/>
          <w:color w:val="000000"/>
          <w:spacing w:val="0"/>
          <w:sz w:val="32"/>
          <w:szCs w:val="32"/>
          <w:bdr w:val="none" w:color="auto" w:sz="0" w:space="0"/>
          <w:shd w:val="clear" w:fill="FFFFFF"/>
        </w:rPr>
        <w:t>推广高效组织模式。积极推广“龙头企业</w:t>
      </w:r>
      <w:r>
        <w:rPr>
          <w:rFonts w:hint="eastAsia" w:ascii="宋体" w:hAnsi="宋体" w:eastAsia="宋体" w:cs="宋体"/>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合作社</w:t>
      </w:r>
      <w:r>
        <w:rPr>
          <w:rFonts w:hint="eastAsia" w:ascii="宋体" w:hAnsi="宋体" w:eastAsia="宋体" w:cs="宋体"/>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职业菜农”生产组织模式，培育龙头企业，发展专业合作社，通过</w:t>
      </w:r>
      <w:r>
        <w:rPr>
          <w:rFonts w:hint="eastAsia" w:ascii="仿宋_GB2312" w:hAnsi="宋体" w:eastAsia="仿宋_GB2312" w:cs="仿宋_GB2312"/>
          <w:i w:val="0"/>
          <w:iCs w:val="0"/>
          <w:caps w:val="0"/>
          <w:color w:val="000000"/>
          <w:spacing w:val="0"/>
          <w:sz w:val="32"/>
          <w:szCs w:val="32"/>
          <w:bdr w:val="none" w:color="auto" w:sz="0" w:space="0"/>
          <w:shd w:val="clear" w:fill="FFFFFF"/>
        </w:rPr>
        <w:t>细化产业分工，</w:t>
      </w:r>
      <w:r>
        <w:rPr>
          <w:rFonts w:hint="eastAsia" w:ascii="仿宋_GB2312" w:hAnsi="Calibri" w:eastAsia="仿宋_GB2312" w:cs="仿宋_GB2312"/>
          <w:i w:val="0"/>
          <w:iCs w:val="0"/>
          <w:caps w:val="0"/>
          <w:color w:val="000000"/>
          <w:spacing w:val="0"/>
          <w:sz w:val="32"/>
          <w:szCs w:val="32"/>
          <w:bdr w:val="none" w:color="auto" w:sz="0" w:space="0"/>
          <w:shd w:val="clear" w:fill="FFFFFF"/>
        </w:rPr>
        <w:t>切实</w:t>
      </w:r>
      <w:r>
        <w:rPr>
          <w:rFonts w:hint="eastAsia" w:ascii="仿宋_GB2312" w:hAnsi="宋体" w:eastAsia="仿宋_GB2312" w:cs="仿宋_GB2312"/>
          <w:i w:val="0"/>
          <w:iCs w:val="0"/>
          <w:caps w:val="0"/>
          <w:color w:val="000000"/>
          <w:spacing w:val="0"/>
          <w:sz w:val="32"/>
          <w:szCs w:val="32"/>
          <w:bdr w:val="none" w:color="auto" w:sz="0" w:space="0"/>
          <w:shd w:val="clear" w:fill="FFFFFF"/>
        </w:rPr>
        <w:t>提高</w:t>
      </w:r>
      <w:r>
        <w:rPr>
          <w:rFonts w:hint="eastAsia" w:ascii="仿宋_GB2312" w:hAnsi="Calibri" w:eastAsia="仿宋_GB2312" w:cs="仿宋_GB2312"/>
          <w:i w:val="0"/>
          <w:iCs w:val="0"/>
          <w:caps w:val="0"/>
          <w:color w:val="000000"/>
          <w:spacing w:val="0"/>
          <w:sz w:val="32"/>
          <w:szCs w:val="32"/>
          <w:bdr w:val="none" w:color="auto" w:sz="0" w:space="0"/>
          <w:shd w:val="clear" w:fill="FFFFFF"/>
        </w:rPr>
        <w:t>蔬菜产业</w:t>
      </w:r>
      <w:r>
        <w:rPr>
          <w:rFonts w:hint="eastAsia" w:ascii="仿宋_GB2312" w:hAnsi="宋体" w:eastAsia="仿宋_GB2312" w:cs="仿宋_GB2312"/>
          <w:i w:val="0"/>
          <w:iCs w:val="0"/>
          <w:caps w:val="0"/>
          <w:color w:val="000000"/>
          <w:spacing w:val="0"/>
          <w:sz w:val="32"/>
          <w:szCs w:val="32"/>
          <w:bdr w:val="none" w:color="auto" w:sz="0" w:space="0"/>
          <w:shd w:val="clear" w:fill="FFFFFF"/>
        </w:rPr>
        <w:t>生产效率。</w:t>
      </w:r>
    </w:p>
    <w:p w14:paraId="53D0AF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（三）大力培育职业菜农</w:t>
      </w:r>
    </w:p>
    <w:p w14:paraId="4E47A7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1.</w:t>
      </w:r>
      <w:r>
        <w:rPr>
          <w:rFonts w:hint="eastAsia" w:ascii="仿宋_GB2312" w:hAnsi="宋体" w:eastAsia="仿宋_GB2312" w:cs="仿宋_GB2312"/>
          <w:i w:val="0"/>
          <w:iCs w:val="0"/>
          <w:caps w:val="0"/>
          <w:color w:val="333333"/>
          <w:spacing w:val="0"/>
          <w:sz w:val="32"/>
          <w:szCs w:val="32"/>
          <w:bdr w:val="none" w:color="auto" w:sz="0" w:space="0"/>
          <w:shd w:val="clear" w:fill="FFFFFF"/>
        </w:rPr>
        <w:t>选树种菜致富典型。每个县（市、区）遴选一批</w:t>
      </w:r>
      <w:r>
        <w:rPr>
          <w:rFonts w:hint="eastAsia" w:ascii="仿宋_GB2312" w:hAnsi="宋体" w:eastAsia="仿宋_GB2312" w:cs="仿宋_GB2312"/>
          <w:i w:val="0"/>
          <w:iCs w:val="0"/>
          <w:caps w:val="0"/>
          <w:color w:val="000000"/>
          <w:spacing w:val="0"/>
          <w:sz w:val="32"/>
          <w:szCs w:val="32"/>
          <w:bdr w:val="none" w:color="auto" w:sz="0" w:space="0"/>
          <w:shd w:val="clear" w:fill="FFFFFF"/>
        </w:rPr>
        <w:t>职业菜农致富典型，通过微信公众号、抖音等新媒体平台宣传创业经历，邀请职业菜农深入镇村一线巡回宣讲、现身说法，动员更多农民参与发展蔬菜产业。</w:t>
      </w:r>
    </w:p>
    <w:p w14:paraId="07C6FD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2.</w:t>
      </w:r>
      <w:r>
        <w:rPr>
          <w:rFonts w:hint="eastAsia" w:ascii="仿宋_GB2312" w:hAnsi="宋体" w:eastAsia="仿宋_GB2312" w:cs="仿宋_GB2312"/>
          <w:i w:val="0"/>
          <w:iCs w:val="0"/>
          <w:caps w:val="0"/>
          <w:color w:val="333333"/>
          <w:spacing w:val="0"/>
          <w:sz w:val="32"/>
          <w:szCs w:val="32"/>
          <w:bdr w:val="none" w:color="auto" w:sz="0" w:space="0"/>
          <w:shd w:val="clear" w:fill="FFFFFF"/>
        </w:rPr>
        <w:t>提前落实本土菜农。</w:t>
      </w:r>
      <w:r>
        <w:rPr>
          <w:rFonts w:hint="eastAsia" w:ascii="仿宋_GB2312" w:hAnsi="宋体" w:eastAsia="仿宋_GB2312" w:cs="仿宋_GB2312"/>
          <w:i w:val="0"/>
          <w:iCs w:val="0"/>
          <w:caps w:val="0"/>
          <w:color w:val="000000"/>
          <w:spacing w:val="0"/>
          <w:sz w:val="32"/>
          <w:szCs w:val="32"/>
          <w:bdr w:val="none" w:color="auto" w:sz="0" w:space="0"/>
          <w:shd w:val="clear" w:fill="FFFFFF"/>
        </w:rPr>
        <w:t>根据年度蔬菜基地建设布局，</w:t>
      </w:r>
      <w:r>
        <w:rPr>
          <w:rFonts w:hint="eastAsia" w:ascii="仿宋_GB2312" w:hAnsi="宋体" w:eastAsia="仿宋_GB2312" w:cs="仿宋_GB2312"/>
          <w:i w:val="0"/>
          <w:iCs w:val="0"/>
          <w:caps w:val="0"/>
          <w:color w:val="333333"/>
          <w:spacing w:val="0"/>
          <w:sz w:val="32"/>
          <w:szCs w:val="32"/>
          <w:bdr w:val="none" w:color="auto" w:sz="0" w:space="0"/>
          <w:shd w:val="clear" w:fill="FFFFFF"/>
        </w:rPr>
        <w:t>压实所在乡镇、村组责任，</w:t>
      </w:r>
      <w:r>
        <w:rPr>
          <w:rFonts w:hint="eastAsia" w:ascii="仿宋_GB2312" w:hAnsi="宋体" w:eastAsia="仿宋_GB2312" w:cs="仿宋_GB2312"/>
          <w:i w:val="0"/>
          <w:iCs w:val="0"/>
          <w:caps w:val="0"/>
          <w:color w:val="000000"/>
          <w:spacing w:val="0"/>
          <w:sz w:val="32"/>
          <w:szCs w:val="32"/>
          <w:bdr w:val="none" w:color="auto" w:sz="0" w:space="0"/>
          <w:shd w:val="clear" w:fill="FFFFFF"/>
        </w:rPr>
        <w:t>通过召开户主会、上门入户宣传、组织外出观摩等，动员、比选和落实一批本土菜农</w:t>
      </w:r>
      <w:r>
        <w:rPr>
          <w:rFonts w:hint="eastAsia" w:ascii="仿宋_GB2312" w:hAnsi="宋体" w:eastAsia="仿宋_GB2312" w:cs="仿宋_GB2312"/>
          <w:i w:val="0"/>
          <w:iCs w:val="0"/>
          <w:caps w:val="0"/>
          <w:color w:val="333333"/>
          <w:spacing w:val="0"/>
          <w:sz w:val="32"/>
          <w:szCs w:val="32"/>
          <w:bdr w:val="none" w:color="auto" w:sz="0" w:space="0"/>
          <w:shd w:val="clear" w:fill="FFFFFF"/>
        </w:rPr>
        <w:t>。组建专业合作社，引导新</w:t>
      </w:r>
      <w:r>
        <w:rPr>
          <w:rFonts w:hint="eastAsia" w:ascii="仿宋_GB2312" w:hAnsi="宋体" w:eastAsia="仿宋_GB2312" w:cs="仿宋_GB2312"/>
          <w:i w:val="0"/>
          <w:iCs w:val="0"/>
          <w:caps w:val="0"/>
          <w:color w:val="000000"/>
          <w:spacing w:val="0"/>
          <w:sz w:val="32"/>
          <w:szCs w:val="32"/>
          <w:bdr w:val="none" w:color="auto" w:sz="0" w:space="0"/>
          <w:shd w:val="clear" w:fill="FFFFFF"/>
        </w:rPr>
        <w:t>菜农</w:t>
      </w:r>
      <w:r>
        <w:rPr>
          <w:rFonts w:hint="eastAsia" w:ascii="仿宋_GB2312" w:hAnsi="宋体" w:eastAsia="仿宋_GB2312" w:cs="仿宋_GB2312"/>
          <w:i w:val="0"/>
          <w:iCs w:val="0"/>
          <w:caps w:val="0"/>
          <w:color w:val="333333"/>
          <w:spacing w:val="0"/>
          <w:sz w:val="32"/>
          <w:szCs w:val="32"/>
          <w:bdr w:val="none" w:color="auto" w:sz="0" w:space="0"/>
          <w:shd w:val="clear" w:fill="FFFFFF"/>
        </w:rPr>
        <w:t>入社抱团发展。</w:t>
      </w:r>
    </w:p>
    <w:p w14:paraId="2B65DC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3.</w:t>
      </w:r>
      <w:r>
        <w:rPr>
          <w:rFonts w:hint="eastAsia" w:ascii="仿宋_GB2312" w:hAnsi="宋体" w:eastAsia="仿宋_GB2312" w:cs="仿宋_GB2312"/>
          <w:i w:val="0"/>
          <w:iCs w:val="0"/>
          <w:caps w:val="0"/>
          <w:color w:val="333333"/>
          <w:spacing w:val="0"/>
          <w:sz w:val="32"/>
          <w:szCs w:val="32"/>
          <w:bdr w:val="none" w:color="auto" w:sz="0" w:space="0"/>
          <w:shd w:val="clear" w:fill="FFFFFF"/>
        </w:rPr>
        <w:t>帮带发展职业菜农。</w:t>
      </w:r>
      <w:r>
        <w:rPr>
          <w:rFonts w:hint="eastAsia" w:ascii="仿宋_GB2312" w:hAnsi="宋体" w:eastAsia="仿宋_GB2312" w:cs="仿宋_GB2312"/>
          <w:i w:val="0"/>
          <w:iCs w:val="0"/>
          <w:caps w:val="0"/>
          <w:color w:val="000000"/>
          <w:spacing w:val="0"/>
          <w:sz w:val="32"/>
          <w:szCs w:val="32"/>
          <w:bdr w:val="none" w:color="auto" w:sz="0" w:space="0"/>
          <w:shd w:val="clear" w:fill="FFFFFF"/>
        </w:rPr>
        <w:t>强化政策激励，动员常年在蔬菜基地就业的农民自主创业、承包大棚，逐步培育发展成职业菜农。落实引进培育职业菜农的若干政策措施，招引一批家庭型职业菜农。构建老带新、熟带生传帮带机制，鼓励职业菜农对周边农户开展产业引导、技术帮带。</w:t>
      </w:r>
    </w:p>
    <w:p w14:paraId="6C15DC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大力开展技术培训。</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线上线下结合，根据不同农时和季节，分品种、分茬口开展专项精准培训，普及推广土壤改良、吊蔓栽培、逆境管理等实用技术，推进技术转化落地。力争全年培训蔬菜技术员、职业菜农</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万人次以上。</w:t>
      </w:r>
    </w:p>
    <w:p w14:paraId="33A522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5.</w:t>
      </w:r>
      <w:r>
        <w:rPr>
          <w:rFonts w:hint="eastAsia" w:ascii="仿宋_GB2312" w:hAnsi="宋体" w:eastAsia="仿宋_GB2312" w:cs="仿宋_GB2312"/>
          <w:i w:val="0"/>
          <w:iCs w:val="0"/>
          <w:caps w:val="0"/>
          <w:color w:val="333333"/>
          <w:spacing w:val="0"/>
          <w:sz w:val="32"/>
          <w:szCs w:val="32"/>
          <w:bdr w:val="none" w:color="auto" w:sz="0" w:space="0"/>
          <w:shd w:val="clear" w:fill="FFFFFF"/>
        </w:rPr>
        <w:t>支持菜农评定职称。</w:t>
      </w:r>
      <w:r>
        <w:rPr>
          <w:rFonts w:hint="eastAsia" w:ascii="仿宋_GB2312" w:hAnsi="宋体" w:eastAsia="仿宋_GB2312" w:cs="仿宋_GB2312"/>
          <w:i w:val="0"/>
          <w:iCs w:val="0"/>
          <w:caps w:val="0"/>
          <w:color w:val="000000"/>
          <w:spacing w:val="0"/>
          <w:sz w:val="32"/>
          <w:szCs w:val="32"/>
          <w:bdr w:val="none" w:color="auto" w:sz="0" w:space="0"/>
          <w:shd w:val="clear" w:fill="FFFFFF"/>
        </w:rPr>
        <w:t>鼓励和支持生产一线的职业菜农申报农民农艺师、农民助理农艺师职称，建立专门档案，纳入乡土专家库管理，享受相关培养、扶持和服务政策。</w:t>
      </w:r>
    </w:p>
    <w:p w14:paraId="65F7A7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（四）提升产业发展体系</w:t>
      </w:r>
    </w:p>
    <w:p w14:paraId="31C4CE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1.</w:t>
      </w:r>
      <w:r>
        <w:rPr>
          <w:rFonts w:hint="eastAsia" w:ascii="仿宋_GB2312" w:hAnsi="宋体" w:eastAsia="仿宋_GB2312" w:cs="仿宋_GB2312"/>
          <w:i w:val="0"/>
          <w:iCs w:val="0"/>
          <w:caps w:val="0"/>
          <w:color w:val="333333"/>
          <w:spacing w:val="0"/>
          <w:sz w:val="32"/>
          <w:szCs w:val="32"/>
          <w:bdr w:val="none" w:color="auto" w:sz="0" w:space="0"/>
          <w:shd w:val="clear" w:fill="FFFFFF"/>
        </w:rPr>
        <w:t>提升技术创新能力。</w:t>
      </w:r>
      <w:r>
        <w:rPr>
          <w:rFonts w:hint="eastAsia" w:ascii="仿宋_GB2312" w:hAnsi="宋体" w:eastAsia="仿宋_GB2312" w:cs="仿宋_GB2312"/>
          <w:i w:val="0"/>
          <w:iCs w:val="0"/>
          <w:caps w:val="0"/>
          <w:color w:val="000000"/>
          <w:spacing w:val="0"/>
          <w:sz w:val="32"/>
          <w:szCs w:val="32"/>
          <w:bdr w:val="none" w:color="auto" w:sz="0" w:space="0"/>
          <w:shd w:val="clear" w:fill="FFFFFF"/>
        </w:rPr>
        <w:t>加强与蔬菜专业院士专家对接合作，强化关键性技术攻关和测试，提升本土种业和技术研发创新力。依托蔬菜标准分中心、蔬菜研究所、“两中心一基地”平台，突出辣椒、丝瓜、芦笋等品种，制定地方生产技术规范，推动技术本土化和标准化。</w:t>
      </w:r>
    </w:p>
    <w:p w14:paraId="105082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2.</w:t>
      </w:r>
      <w:r>
        <w:rPr>
          <w:rFonts w:hint="eastAsia" w:ascii="仿宋_GB2312" w:hAnsi="宋体" w:eastAsia="仿宋_GB2312" w:cs="仿宋_GB2312"/>
          <w:i w:val="0"/>
          <w:iCs w:val="0"/>
          <w:caps w:val="0"/>
          <w:color w:val="333333"/>
          <w:spacing w:val="0"/>
          <w:sz w:val="32"/>
          <w:szCs w:val="32"/>
          <w:bdr w:val="none" w:color="auto" w:sz="0" w:space="0"/>
          <w:shd w:val="clear" w:fill="FFFFFF"/>
        </w:rPr>
        <w:t>完善技术服务体系。</w:t>
      </w:r>
      <w:r>
        <w:rPr>
          <w:rFonts w:hint="eastAsia" w:ascii="仿宋_GB2312" w:hAnsi="宋体" w:eastAsia="仿宋_GB2312" w:cs="仿宋_GB2312"/>
          <w:i w:val="0"/>
          <w:iCs w:val="0"/>
          <w:caps w:val="0"/>
          <w:color w:val="000000"/>
          <w:spacing w:val="0"/>
          <w:sz w:val="32"/>
          <w:szCs w:val="32"/>
          <w:bdr w:val="none" w:color="auto" w:sz="0" w:space="0"/>
          <w:shd w:val="clear" w:fill="FFFFFF"/>
        </w:rPr>
        <w:t>继续推进政府购买服务，聘请技术员常驻基地蹲点指导，以</w:t>
      </w:r>
      <w:r>
        <w:rPr>
          <w:rFonts w:hint="eastAsia" w:ascii="宋体" w:hAnsi="宋体" w:eastAsia="宋体" w:cs="宋体"/>
          <w:i w:val="0"/>
          <w:iCs w:val="0"/>
          <w:caps w:val="0"/>
          <w:color w:val="000000"/>
          <w:spacing w:val="0"/>
          <w:sz w:val="32"/>
          <w:szCs w:val="32"/>
          <w:bdr w:val="none" w:color="auto" w:sz="0" w:space="0"/>
          <w:shd w:val="clear" w:fill="FFFFFF"/>
        </w:rPr>
        <w:t>300</w:t>
      </w:r>
      <w:r>
        <w:rPr>
          <w:rFonts w:hint="eastAsia" w:ascii="仿宋_GB2312" w:hAnsi="宋体" w:eastAsia="仿宋_GB2312" w:cs="仿宋_GB2312"/>
          <w:i w:val="0"/>
          <w:iCs w:val="0"/>
          <w:caps w:val="0"/>
          <w:color w:val="000000"/>
          <w:spacing w:val="0"/>
          <w:sz w:val="32"/>
          <w:szCs w:val="32"/>
          <w:bdr w:val="none" w:color="auto" w:sz="0" w:space="0"/>
          <w:shd w:val="clear" w:fill="FFFFFF"/>
        </w:rPr>
        <w:t>亩左右为单元充实田间地头服务力量。用好乡镇蔬菜定向培养生，专职从事蔬菜技术推广工作。</w:t>
      </w:r>
    </w:p>
    <w:p w14:paraId="2CBBB6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3.</w:t>
      </w:r>
      <w:r>
        <w:rPr>
          <w:rFonts w:hint="eastAsia" w:ascii="仿宋_GB2312" w:hAnsi="宋体" w:eastAsia="仿宋_GB2312" w:cs="仿宋_GB2312"/>
          <w:i w:val="0"/>
          <w:iCs w:val="0"/>
          <w:caps w:val="0"/>
          <w:color w:val="333333"/>
          <w:spacing w:val="0"/>
          <w:sz w:val="32"/>
          <w:szCs w:val="32"/>
          <w:bdr w:val="none" w:color="auto" w:sz="0" w:space="0"/>
          <w:shd w:val="clear" w:fill="FFFFFF"/>
        </w:rPr>
        <w:t>提升社会服务水平。</w:t>
      </w:r>
      <w:r>
        <w:rPr>
          <w:rFonts w:hint="eastAsia" w:ascii="仿宋_GB2312" w:hAnsi="宋体" w:eastAsia="仿宋_GB2312" w:cs="仿宋_GB2312"/>
          <w:i w:val="0"/>
          <w:iCs w:val="0"/>
          <w:caps w:val="0"/>
          <w:color w:val="000000"/>
          <w:spacing w:val="0"/>
          <w:sz w:val="32"/>
          <w:szCs w:val="32"/>
          <w:bdr w:val="none" w:color="auto" w:sz="0" w:space="0"/>
          <w:shd w:val="clear" w:fill="FFFFFF"/>
        </w:rPr>
        <w:t>坚持联农户、带乡村，鼓励村集体经济组织参与大棚设施管护，探索开展农机租赁、劳务派遣等专业服务，拓展大棚维修、农资销售、技术承包等社会化服务，助力乡村产业兴旺和村集体经济发展。</w:t>
      </w:r>
    </w:p>
    <w:p w14:paraId="7D5C38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7"/>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000000"/>
          <w:spacing w:val="0"/>
          <w:sz w:val="32"/>
          <w:szCs w:val="32"/>
          <w:bdr w:val="none" w:color="auto" w:sz="0" w:space="0"/>
          <w:shd w:val="clear" w:fill="FFFFFF"/>
        </w:rPr>
        <w:t>4.</w:t>
      </w:r>
      <w:r>
        <w:rPr>
          <w:rFonts w:hint="eastAsia" w:ascii="仿宋_GB2312" w:hAnsi="Calibri" w:eastAsia="仿宋_GB2312" w:cs="仿宋_GB2312"/>
          <w:i w:val="0"/>
          <w:iCs w:val="0"/>
          <w:caps w:val="0"/>
          <w:color w:val="000000"/>
          <w:spacing w:val="0"/>
          <w:sz w:val="32"/>
          <w:szCs w:val="32"/>
          <w:bdr w:val="none" w:color="auto" w:sz="0" w:space="0"/>
          <w:shd w:val="clear" w:fill="FFFFFF"/>
        </w:rPr>
        <w:t>做长做强产业链条。延伸发展种苗繁育、农资生产、大棚钢材和配件生产等配套产业，推进蔬菜产地初加工和精深加工，拓展科普和农事体验等功能。</w:t>
      </w:r>
    </w:p>
    <w:p w14:paraId="783D1F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7"/>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000000"/>
          <w:spacing w:val="0"/>
          <w:sz w:val="32"/>
          <w:szCs w:val="32"/>
          <w:bdr w:val="none" w:color="auto" w:sz="0" w:space="0"/>
          <w:shd w:val="clear" w:fill="FFFFFF"/>
        </w:rPr>
        <w:t>5.</w:t>
      </w:r>
      <w:r>
        <w:rPr>
          <w:rFonts w:hint="eastAsia" w:ascii="仿宋_GB2312" w:hAnsi="Calibri" w:eastAsia="仿宋_GB2312" w:cs="仿宋_GB2312"/>
          <w:i w:val="0"/>
          <w:iCs w:val="0"/>
          <w:caps w:val="0"/>
          <w:color w:val="000000"/>
          <w:spacing w:val="0"/>
          <w:sz w:val="32"/>
          <w:szCs w:val="32"/>
          <w:bdr w:val="none" w:color="auto" w:sz="0" w:space="0"/>
          <w:shd w:val="clear" w:fill="FFFFFF"/>
        </w:rPr>
        <w:t>推广发展蔬菜保险。依托地方特色农业保险、农业巨灾保险、小农户特色农业价格（收入）保险等政策，全力扩大蔬菜种植保险、价格保险、大棚和棚膜保险等覆盖面</w:t>
      </w:r>
      <w:r>
        <w:rPr>
          <w:rFonts w:hint="eastAsia" w:ascii="仿宋_GB2312" w:hAnsi="Calibri" w:eastAsia="仿宋_GB2312" w:cs="仿宋_GB2312"/>
          <w:i w:val="0"/>
          <w:iCs w:val="0"/>
          <w:caps w:val="0"/>
          <w:color w:val="333333"/>
          <w:spacing w:val="0"/>
          <w:sz w:val="32"/>
          <w:szCs w:val="32"/>
          <w:bdr w:val="none" w:color="auto" w:sz="0" w:space="0"/>
          <w:shd w:val="clear" w:fill="FFFFFF"/>
        </w:rPr>
        <w:t>，降低生产和经营风险。</w:t>
      </w:r>
    </w:p>
    <w:p w14:paraId="435939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（五）创响绿色有机富硒品牌</w:t>
      </w:r>
    </w:p>
    <w:p w14:paraId="0E75D2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7"/>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1.</w:t>
      </w:r>
      <w:r>
        <w:rPr>
          <w:rFonts w:hint="eastAsia" w:ascii="仿宋_GB2312" w:hAnsi="Calibri" w:eastAsia="仿宋_GB2312" w:cs="仿宋_GB2312"/>
          <w:i w:val="0"/>
          <w:iCs w:val="0"/>
          <w:caps w:val="0"/>
          <w:color w:val="333333"/>
          <w:spacing w:val="0"/>
          <w:sz w:val="32"/>
          <w:szCs w:val="32"/>
          <w:bdr w:val="none" w:color="auto" w:sz="0" w:space="0"/>
          <w:shd w:val="clear" w:fill="FFFFFF"/>
        </w:rPr>
        <w:t>积极开展品质认证。</w:t>
      </w:r>
      <w:r>
        <w:rPr>
          <w:rFonts w:hint="eastAsia" w:ascii="仿宋_GB2312" w:hAnsi="Calibri" w:eastAsia="仿宋_GB2312" w:cs="仿宋_GB2312"/>
          <w:i w:val="0"/>
          <w:iCs w:val="0"/>
          <w:caps w:val="0"/>
          <w:color w:val="000000"/>
          <w:spacing w:val="0"/>
          <w:sz w:val="32"/>
          <w:szCs w:val="32"/>
          <w:bdr w:val="none" w:color="auto" w:sz="0" w:space="0"/>
          <w:shd w:val="clear" w:fill="FFFFFF"/>
        </w:rPr>
        <w:t>坚持品牌兴菜、品质取胜，抓住全域创建绿色有机农产品基地的契机，对规模基地实行全过程监管，强化农药、化肥等投入品源头管控，布局建设一批绿色有机富硒蔬菜基地，引导基地开展绿色、有机、富硒认证。</w:t>
      </w:r>
    </w:p>
    <w:p w14:paraId="3C73C1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0"/>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2"/>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333333"/>
          <w:spacing w:val="-2"/>
          <w:kern w:val="0"/>
          <w:sz w:val="32"/>
          <w:szCs w:val="32"/>
          <w:bdr w:val="none" w:color="auto" w:sz="0" w:space="0"/>
          <w:shd w:val="clear" w:fill="FFFFFF"/>
          <w:lang w:val="en-US" w:eastAsia="zh-CN" w:bidi="ar"/>
        </w:rPr>
        <w:t>全面推进清洁生产。加强园区环境整治，及时清理残枝败叶、田间杂草，疏通堵塞沟渠，回收包装袋、塑料瓶等农业废弃物。</w:t>
      </w:r>
    </w:p>
    <w:p w14:paraId="062E41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加快培育蔬菜品牌。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大力培育“宁都辣椒”“于都富硒番茄”“兴国芦笋”“会昌贝贝南瓜”“全南高山蔬菜”等区域公用品牌，激励和推动经营主体开展商标注册与品牌创建，加快构建以赣南富硒蔬菜为引领，区域公用品牌、企业品牌和产品品牌协同推进的品牌发展格局。</w:t>
      </w:r>
    </w:p>
    <w:p w14:paraId="01BE0F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4.</w:t>
      </w:r>
      <w:r>
        <w:rPr>
          <w:rFonts w:hint="eastAsia" w:ascii="仿宋_GB2312" w:hAnsi="宋体" w:eastAsia="仿宋_GB2312" w:cs="仿宋_GB2312"/>
          <w:i w:val="0"/>
          <w:iCs w:val="0"/>
          <w:caps w:val="0"/>
          <w:color w:val="333333"/>
          <w:spacing w:val="0"/>
          <w:sz w:val="32"/>
          <w:szCs w:val="32"/>
          <w:bdr w:val="none" w:color="auto" w:sz="0" w:space="0"/>
          <w:shd w:val="clear" w:fill="FFFFFF"/>
        </w:rPr>
        <w:t>加大品牌宣传力度。通过</w:t>
      </w:r>
      <w:r>
        <w:rPr>
          <w:rFonts w:hint="eastAsia" w:ascii="仿宋_GB2312" w:hAnsi="宋体" w:eastAsia="仿宋_GB2312" w:cs="仿宋_GB2312"/>
          <w:i w:val="0"/>
          <w:iCs w:val="0"/>
          <w:caps w:val="0"/>
          <w:color w:val="000000"/>
          <w:spacing w:val="0"/>
          <w:sz w:val="32"/>
          <w:szCs w:val="32"/>
          <w:bdr w:val="none" w:color="auto" w:sz="0" w:space="0"/>
          <w:shd w:val="clear" w:fill="FFFFFF"/>
        </w:rPr>
        <w:t>开展品牌推广、直播带货、线上线下互动，组织参加农产品博览会、举办品牌推介会等形式，打响品牌名气、放大品牌效应。</w:t>
      </w:r>
    </w:p>
    <w:p w14:paraId="60CFFF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（六）加强市场体系建设</w:t>
      </w:r>
    </w:p>
    <w:p w14:paraId="7AF6B8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完善蔬菜市场框架。</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依托华东城、中农批等大型专业批发市场，完善蔬菜信息监测、预警机制，引导生产稳定发展、市场平稳运行。结合产业区域布局，在重点乡镇、专业村发展一批专业性产地批发市场，提升区域调控供应能力。</w:t>
      </w:r>
    </w:p>
    <w:p w14:paraId="240A88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强化采后处理能力。</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加大田头冷库建设力度，积极鼓励经营主体采购冷链车辆、储藏保鲜机电设备、鲜活农产品清冼、分选、装卸等设备，强化分级包装等采后商品化处理，拓展净菜、预制菜配送服务，提高蔬菜采后增值率。</w:t>
      </w:r>
    </w:p>
    <w:p w14:paraId="54949D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深度融入湾区市场。布局申报一批直供优质蔬菜供应基地，依托大湾区“菜篮子”产品赣州配送分中心，引导绿色、有机和富硒蔬菜产品进入大湾区。</w:t>
      </w:r>
    </w:p>
    <w:p w14:paraId="133592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积极开拓销售渠道。大力引进或培育销售企业、合作社、经理人等流通主体，与基地建立合作关系，以销促产，倒逼科学安排种植茬口和品种。以县（市、区）为单位，组建专业销售队伍，重点拓展南昌、广州、深圳、长沙、厦门等</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500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公里内核心目标市场，推动蔬菜产品直接进入大型商超、批发档口。</w:t>
      </w:r>
    </w:p>
    <w:p w14:paraId="567BAB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三、政策扶持</w:t>
      </w:r>
    </w:p>
    <w:p w14:paraId="123EDA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42"/>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6"/>
          <w:sz w:val="32"/>
          <w:szCs w:val="32"/>
          <w:bdr w:val="none" w:color="auto" w:sz="0" w:space="0"/>
          <w:shd w:val="clear" w:fill="FFFFFF"/>
        </w:rPr>
        <w:t>市财政继续预算安排蔬菜产业发展资金，重点支持新建大棚设施、创建标准菜园、老旧基地棚膜更新、田头冷库及采后处理场地建设等方面，着力解决产业发展关键瓶颈。</w:t>
      </w:r>
    </w:p>
    <w:p w14:paraId="5E5BC9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sz w:val="32"/>
          <w:szCs w:val="32"/>
          <w:bdr w:val="none" w:color="auto" w:sz="0" w:space="0"/>
          <w:shd w:val="clear" w:fill="FFFFFF"/>
        </w:rPr>
        <w:t>（一）支持新建大棚设施。</w:t>
      </w:r>
      <w:r>
        <w:rPr>
          <w:rFonts w:hint="eastAsia" w:ascii="仿宋_GB2312" w:hAnsi="Times New Roman" w:eastAsia="仿宋_GB2312" w:cs="仿宋_GB2312"/>
          <w:i w:val="0"/>
          <w:iCs w:val="0"/>
          <w:caps w:val="0"/>
          <w:color w:val="333333"/>
          <w:spacing w:val="0"/>
          <w:sz w:val="32"/>
          <w:szCs w:val="32"/>
          <w:bdr w:val="none" w:color="auto" w:sz="0" w:space="0"/>
          <w:shd w:val="clear" w:fill="FFFFFF"/>
        </w:rPr>
        <w:t>按照先建后补原则，对新（扩）建相对集中连片</w:t>
      </w:r>
      <w:r>
        <w:rPr>
          <w:rFonts w:hint="eastAsia" w:ascii="宋体" w:hAnsi="宋体" w:eastAsia="宋体" w:cs="宋体"/>
          <w:i w:val="0"/>
          <w:iCs w:val="0"/>
          <w:caps w:val="0"/>
          <w:color w:val="333333"/>
          <w:spacing w:val="0"/>
          <w:sz w:val="32"/>
          <w:szCs w:val="32"/>
          <w:bdr w:val="none" w:color="auto" w:sz="0" w:space="0"/>
          <w:shd w:val="clear" w:fill="FFFFFF"/>
        </w:rPr>
        <w:t>100</w:t>
      </w:r>
      <w:r>
        <w:rPr>
          <w:rFonts w:hint="eastAsia" w:ascii="仿宋_GB2312" w:hAnsi="Times New Roman" w:eastAsia="仿宋_GB2312" w:cs="仿宋_GB2312"/>
          <w:i w:val="0"/>
          <w:iCs w:val="0"/>
          <w:caps w:val="0"/>
          <w:color w:val="333333"/>
          <w:spacing w:val="0"/>
          <w:sz w:val="32"/>
          <w:szCs w:val="32"/>
          <w:bdr w:val="none" w:color="auto" w:sz="0" w:space="0"/>
          <w:shd w:val="clear" w:fill="FFFFFF"/>
        </w:rPr>
        <w:t>亩及以上蔬菜钢架大棚的主体进行奖补。信丰、兴国、宁都、于都、会昌、瑞金</w:t>
      </w:r>
      <w:r>
        <w:rPr>
          <w:rFonts w:hint="eastAsia" w:ascii="宋体" w:hAnsi="宋体" w:eastAsia="宋体" w:cs="宋体"/>
          <w:i w:val="0"/>
          <w:iCs w:val="0"/>
          <w:caps w:val="0"/>
          <w:color w:val="333333"/>
          <w:spacing w:val="0"/>
          <w:sz w:val="32"/>
          <w:szCs w:val="32"/>
          <w:bdr w:val="none" w:color="auto" w:sz="0" w:space="0"/>
          <w:shd w:val="clear" w:fill="FFFFFF"/>
        </w:rPr>
        <w:t>6</w:t>
      </w:r>
      <w:r>
        <w:rPr>
          <w:rFonts w:hint="eastAsia" w:ascii="仿宋_GB2312" w:hAnsi="Times New Roman" w:eastAsia="仿宋_GB2312" w:cs="仿宋_GB2312"/>
          <w:i w:val="0"/>
          <w:iCs w:val="0"/>
          <w:caps w:val="0"/>
          <w:color w:val="333333"/>
          <w:spacing w:val="0"/>
          <w:sz w:val="32"/>
          <w:szCs w:val="32"/>
          <w:bdr w:val="none" w:color="auto" w:sz="0" w:space="0"/>
          <w:shd w:val="clear" w:fill="FFFFFF"/>
        </w:rPr>
        <w:t>个蔬菜产业重点县（市），按大棚面积</w:t>
      </w:r>
      <w:r>
        <w:rPr>
          <w:rFonts w:hint="eastAsia" w:ascii="宋体" w:hAnsi="宋体" w:eastAsia="宋体" w:cs="宋体"/>
          <w:i w:val="0"/>
          <w:iCs w:val="0"/>
          <w:caps w:val="0"/>
          <w:color w:val="333333"/>
          <w:spacing w:val="0"/>
          <w:sz w:val="32"/>
          <w:szCs w:val="32"/>
          <w:bdr w:val="none" w:color="auto" w:sz="0" w:space="0"/>
          <w:shd w:val="clear" w:fill="FFFFFF"/>
        </w:rPr>
        <w:t>7000</w:t>
      </w:r>
      <w:r>
        <w:rPr>
          <w:rFonts w:hint="eastAsia" w:ascii="仿宋_GB2312" w:hAnsi="Times New Roman" w:eastAsia="仿宋_GB2312" w:cs="仿宋_GB2312"/>
          <w:i w:val="0"/>
          <w:iCs w:val="0"/>
          <w:caps w:val="0"/>
          <w:color w:val="333333"/>
          <w:spacing w:val="0"/>
          <w:sz w:val="32"/>
          <w:szCs w:val="32"/>
          <w:bdr w:val="none" w:color="auto" w:sz="0" w:space="0"/>
          <w:shd w:val="clear" w:fill="FFFFFF"/>
        </w:rPr>
        <w:t>元</w:t>
      </w:r>
      <w:r>
        <w:rPr>
          <w:rFonts w:hint="eastAsia" w:ascii="宋体" w:hAnsi="宋体" w:eastAsia="宋体" w:cs="宋体"/>
          <w:i w:val="0"/>
          <w:iCs w:val="0"/>
          <w:caps w:val="0"/>
          <w:color w:val="333333"/>
          <w:spacing w:val="0"/>
          <w:sz w:val="32"/>
          <w:szCs w:val="32"/>
          <w:bdr w:val="none" w:color="auto" w:sz="0" w:space="0"/>
          <w:shd w:val="clear" w:fill="FFFFFF"/>
        </w:rPr>
        <w:t>/</w:t>
      </w:r>
      <w:r>
        <w:rPr>
          <w:rFonts w:hint="eastAsia" w:ascii="仿宋_GB2312" w:hAnsi="Times New Roman" w:eastAsia="仿宋_GB2312" w:cs="仿宋_GB2312"/>
          <w:i w:val="0"/>
          <w:iCs w:val="0"/>
          <w:caps w:val="0"/>
          <w:color w:val="333333"/>
          <w:spacing w:val="0"/>
          <w:sz w:val="32"/>
          <w:szCs w:val="32"/>
          <w:bdr w:val="none" w:color="auto" w:sz="0" w:space="0"/>
          <w:shd w:val="clear" w:fill="FFFFFF"/>
        </w:rPr>
        <w:t>亩进行奖补；其他县（区），按大棚面积</w:t>
      </w:r>
      <w:r>
        <w:rPr>
          <w:rFonts w:hint="eastAsia" w:ascii="宋体" w:hAnsi="宋体" w:eastAsia="宋体" w:cs="宋体"/>
          <w:i w:val="0"/>
          <w:iCs w:val="0"/>
          <w:caps w:val="0"/>
          <w:color w:val="333333"/>
          <w:spacing w:val="0"/>
          <w:sz w:val="32"/>
          <w:szCs w:val="32"/>
          <w:bdr w:val="none" w:color="auto" w:sz="0" w:space="0"/>
          <w:shd w:val="clear" w:fill="FFFFFF"/>
        </w:rPr>
        <w:t>5000</w:t>
      </w:r>
      <w:r>
        <w:rPr>
          <w:rFonts w:hint="eastAsia" w:ascii="仿宋_GB2312" w:hAnsi="Times New Roman" w:eastAsia="仿宋_GB2312" w:cs="仿宋_GB2312"/>
          <w:i w:val="0"/>
          <w:iCs w:val="0"/>
          <w:caps w:val="0"/>
          <w:color w:val="333333"/>
          <w:spacing w:val="0"/>
          <w:sz w:val="32"/>
          <w:szCs w:val="32"/>
          <w:bdr w:val="none" w:color="auto" w:sz="0" w:space="0"/>
          <w:shd w:val="clear" w:fill="FFFFFF"/>
        </w:rPr>
        <w:t>元</w:t>
      </w:r>
      <w:r>
        <w:rPr>
          <w:rFonts w:hint="eastAsia" w:ascii="宋体" w:hAnsi="宋体" w:eastAsia="宋体" w:cs="宋体"/>
          <w:i w:val="0"/>
          <w:iCs w:val="0"/>
          <w:caps w:val="0"/>
          <w:color w:val="333333"/>
          <w:spacing w:val="0"/>
          <w:sz w:val="32"/>
          <w:szCs w:val="32"/>
          <w:bdr w:val="none" w:color="auto" w:sz="0" w:space="0"/>
          <w:shd w:val="clear" w:fill="FFFFFF"/>
        </w:rPr>
        <w:t>/</w:t>
      </w:r>
      <w:r>
        <w:rPr>
          <w:rFonts w:hint="eastAsia" w:ascii="仿宋_GB2312" w:hAnsi="Times New Roman" w:eastAsia="仿宋_GB2312" w:cs="仿宋_GB2312"/>
          <w:i w:val="0"/>
          <w:iCs w:val="0"/>
          <w:caps w:val="0"/>
          <w:color w:val="333333"/>
          <w:spacing w:val="0"/>
          <w:sz w:val="32"/>
          <w:szCs w:val="32"/>
          <w:bdr w:val="none" w:color="auto" w:sz="0" w:space="0"/>
          <w:shd w:val="clear" w:fill="FFFFFF"/>
        </w:rPr>
        <w:t>亩进行奖补。鼓励各地依法依规开发滩涂、荒山荒坡等未利用地建设蔬菜钢架大棚，对权属清晰、四址明确，经土地开发立项并审核同意，集中连片面积达</w:t>
      </w:r>
      <w:r>
        <w:rPr>
          <w:rFonts w:hint="eastAsia" w:ascii="宋体" w:hAnsi="宋体" w:eastAsia="宋体" w:cs="宋体"/>
          <w:i w:val="0"/>
          <w:iCs w:val="0"/>
          <w:caps w:val="0"/>
          <w:color w:val="333333"/>
          <w:spacing w:val="0"/>
          <w:sz w:val="32"/>
          <w:szCs w:val="32"/>
          <w:bdr w:val="none" w:color="auto" w:sz="0" w:space="0"/>
          <w:shd w:val="clear" w:fill="FFFFFF"/>
        </w:rPr>
        <w:t>5</w:t>
      </w:r>
      <w:r>
        <w:rPr>
          <w:rFonts w:hint="eastAsia" w:ascii="仿宋_GB2312" w:hAnsi="Times New Roman" w:eastAsia="仿宋_GB2312" w:cs="仿宋_GB2312"/>
          <w:i w:val="0"/>
          <w:iCs w:val="0"/>
          <w:caps w:val="0"/>
          <w:color w:val="333333"/>
          <w:spacing w:val="0"/>
          <w:sz w:val="32"/>
          <w:szCs w:val="32"/>
          <w:bdr w:val="none" w:color="auto" w:sz="0" w:space="0"/>
          <w:shd w:val="clear" w:fill="FFFFFF"/>
        </w:rPr>
        <w:t>亩及以上的，在原有奖补的基础上，再给予一定的奖励。大棚面积按棚内面积</w:t>
      </w:r>
      <w:r>
        <w:rPr>
          <w:rFonts w:hint="eastAsia" w:ascii="宋体" w:hAnsi="宋体" w:eastAsia="宋体" w:cs="宋体"/>
          <w:i w:val="0"/>
          <w:iCs w:val="0"/>
          <w:caps w:val="0"/>
          <w:color w:val="333333"/>
          <w:spacing w:val="0"/>
          <w:sz w:val="32"/>
          <w:szCs w:val="32"/>
          <w:bdr w:val="none" w:color="auto" w:sz="0" w:space="0"/>
          <w:shd w:val="clear" w:fill="FFFFFF"/>
        </w:rPr>
        <w:t>540</w:t>
      </w:r>
      <w:r>
        <w:rPr>
          <w:rFonts w:hint="eastAsia" w:ascii="仿宋_GB2312" w:hAnsi="Times New Roman" w:eastAsia="仿宋_GB2312" w:cs="仿宋_GB2312"/>
          <w:i w:val="0"/>
          <w:iCs w:val="0"/>
          <w:caps w:val="0"/>
          <w:color w:val="333333"/>
          <w:spacing w:val="0"/>
          <w:sz w:val="32"/>
          <w:szCs w:val="32"/>
          <w:bdr w:val="none" w:color="auto" w:sz="0" w:space="0"/>
          <w:shd w:val="clear" w:fill="FFFFFF"/>
        </w:rPr>
        <w:t>平方米折合一亩计算。</w:t>
      </w:r>
    </w:p>
    <w:p w14:paraId="392C6D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（二）支持创建标准菜园。</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鼓励现有大棚设施园区进行现代化改造提升。对集中改造面积</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亩以上的大棚设施园区进行综合评审，竞争性评选出</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家，一次性给予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个的奖补扶持。</w:t>
      </w:r>
    </w:p>
    <w:p w14:paraId="24B2B1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（三）支持老旧基地棚膜更新。</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对已通过市级复核并稳定经营三年以上的设施蔬菜基地进行换膜补助，按换膜大棚面积</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亩进行奖补。</w:t>
      </w:r>
    </w:p>
    <w:p w14:paraId="639B8B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（四）支持新建田头冷库。</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对新增田头冷库净容积</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立方米以上的，按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立方米的标准进行奖补，每个基地的最高奖补资金不超过</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w:t>
      </w:r>
    </w:p>
    <w:p w14:paraId="6371D0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（五）支持新建采后处理场地。</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对新增采后处理场地，按</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万元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个的标准进行奖补。</w:t>
      </w:r>
    </w:p>
    <w:p w14:paraId="0DA827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（六）支持产品质量认证。</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对获得供粤港澳大湾区“菜篮子”和出口认证的蔬菜基地，根据认证核定的面积，有效期内一次性给予</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200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元</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亩的奖励。</w:t>
      </w:r>
    </w:p>
    <w:p w14:paraId="0E3894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333333"/>
          <w:spacing w:val="0"/>
          <w:kern w:val="0"/>
          <w:sz w:val="32"/>
          <w:szCs w:val="32"/>
          <w:bdr w:val="none" w:color="auto" w:sz="0" w:space="0"/>
          <w:shd w:val="clear" w:fill="FFFFFF"/>
          <w:lang w:val="en-US" w:eastAsia="zh-CN" w:bidi="ar"/>
        </w:rPr>
        <w:t>（七）支持开展技术提升。</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通过政府购买服务等方式，支持全国蔬菜质量标准中心赣州分中心、赣南科学院、市蔬菜产业“两中心一基地”等科研技术团队开展技术研究与培训等科技服务。</w:t>
      </w:r>
    </w:p>
    <w:p w14:paraId="56D7CD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sz w:val="32"/>
          <w:szCs w:val="32"/>
          <w:bdr w:val="none" w:color="auto" w:sz="0" w:space="0"/>
          <w:shd w:val="clear" w:fill="FFFFFF"/>
        </w:rPr>
        <w:t>扶持项目具体验收方法、标准与程序，由市农业农村局商市财政局另行制定下发。奖补资金实行总额控制。各县（市、区）要加大资金投入，优化奖补项目设置，着重在良种良法、土壤改良、菜农培育、品牌培育、市场流通等环节进行扶持。</w:t>
      </w:r>
    </w:p>
    <w:p w14:paraId="7A09B5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四、组织保障</w:t>
      </w:r>
    </w:p>
    <w:p w14:paraId="1C5B62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（一）加强组织领导。</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严格落实“县长工程”，县（市、区）长直接负责蔬菜产业发展工作，保障工作人员和经费，</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定期研判工作进展，</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解决产业发展中的实际困难和问题。</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各地要对标任务要求，细化工作方案，分解年度目标，做好宣传发动，强化工作调度，适时组织现场会推进赶学比超，浓厚产业发展氛围。</w:t>
      </w:r>
    </w:p>
    <w:p w14:paraId="0195F0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（二）形成工作合力。</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压实部门职责，由</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农业农村部门牵头推进，</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住建部门负责基地</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质量，</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市场监管部门负责材料质检、协助做好品牌培育，商务部门负责市场开拓，赣南科学院负责技术攻关</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等</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，形成高质量发展工作合力</w:t>
      </w:r>
      <w:r>
        <w:rPr>
          <w:rFonts w:hint="eastAsia" w:ascii="仿宋_GB2312" w:hAnsi="宋体" w:eastAsia="仿宋_GB2312" w:cs="仿宋_GB2312"/>
          <w:i w:val="0"/>
          <w:iCs w:val="0"/>
          <w:caps w:val="0"/>
          <w:color w:val="333333"/>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督促乡镇、村组落实属地责任，抓好地块落实、本土菜农动员、合作社组建、蔬菜基地监管等工作。</w:t>
      </w:r>
    </w:p>
    <w:p w14:paraId="0B6ED6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（三）强化指导督促。</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采取“四不两直”方式，不定期开展实地调研，对发现的问题实行限时督办。每季度开展新建大棚设施面积实地抽核，对推进不力、弄虚作假的进行通报。将蔬菜产业发展列入乡村全面振兴行动每季度重点工作进行排名，对未完成时序进度且两次排名后三位的，由市政府分管领导约谈相关县（市、区）政府分管领导；三次排名后三位的，由市政府主要领导约谈相关县（市、区）政府主要领导，并取消乡村全面振兴行动评先评优资格。</w:t>
      </w:r>
    </w:p>
    <w:p w14:paraId="4B435D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18"/>
        <w:jc w:val="both"/>
        <w:rPr>
          <w:rFonts w:hint="default" w:ascii="Times New Roman" w:hAnsi="Times New Roman" w:cs="Times New Roman"/>
          <w:i w:val="0"/>
          <w:iCs w:val="0"/>
          <w:caps w:val="0"/>
          <w:color w:val="333333"/>
          <w:spacing w:val="0"/>
          <w:sz w:val="21"/>
          <w:szCs w:val="21"/>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（四）严格考核奖惩。</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将蔬菜产业列为乡村全面振兴行动、高质量发展考核的重要内容。</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对完成年度大棚设施指导计划的县（市、区），给予一定的正向激励；对未完成年度大棚设施指导计划的县（市、区）扣减</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市级奖补资金，差额部分由县级财政补齐兑现，并取消创建标准菜园项目申报。</w:t>
      </w:r>
    </w:p>
    <w:p w14:paraId="480168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rPr>
          <w:rFonts w:hint="eastAsia" w:ascii="宋体" w:hAnsi="宋体" w:eastAsia="宋体" w:cs="宋体"/>
          <w:i w:val="0"/>
          <w:iCs w:val="0"/>
          <w:caps w:val="0"/>
          <w:color w:val="000000"/>
          <w:spacing w:val="0"/>
          <w:sz w:val="28"/>
          <w:szCs w:val="28"/>
        </w:rPr>
      </w:pPr>
      <w:r>
        <w:rPr>
          <w:rFonts w:hint="eastAsia" w:ascii="仿宋_GB2312" w:hAnsi="宋体" w:eastAsia="仿宋_GB2312" w:cs="仿宋_GB2312"/>
          <w:i w:val="0"/>
          <w:iCs w:val="0"/>
          <w:caps w:val="0"/>
          <w:color w:val="000000"/>
          <w:spacing w:val="0"/>
          <w:sz w:val="32"/>
          <w:szCs w:val="32"/>
          <w:bdr w:val="none" w:color="auto" w:sz="0" w:space="0"/>
          <w:shd w:val="clear" w:fill="FFFFFF"/>
        </w:rPr>
        <w:t> </w:t>
      </w:r>
    </w:p>
    <w:p w14:paraId="115A33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rPr>
          <w:rFonts w:hint="eastAsia" w:ascii="宋体" w:hAnsi="宋体" w:eastAsia="宋体" w:cs="宋体"/>
          <w:i w:val="0"/>
          <w:iCs w:val="0"/>
          <w:caps w:val="0"/>
          <w:color w:val="000000"/>
          <w:spacing w:val="0"/>
          <w:sz w:val="28"/>
          <w:szCs w:val="28"/>
        </w:rPr>
      </w:pPr>
      <w:r>
        <w:rPr>
          <w:rFonts w:hint="eastAsia" w:ascii="仿宋_GB2312" w:hAnsi="宋体" w:eastAsia="仿宋_GB2312" w:cs="仿宋_GB2312"/>
          <w:i w:val="0"/>
          <w:iCs w:val="0"/>
          <w:caps w:val="0"/>
          <w:color w:val="000000"/>
          <w:spacing w:val="0"/>
          <w:sz w:val="32"/>
          <w:szCs w:val="32"/>
          <w:bdr w:val="none" w:color="auto" w:sz="0" w:space="0"/>
          <w:shd w:val="clear" w:fill="FFFFFF"/>
        </w:rPr>
        <w:t>附件：</w:t>
      </w:r>
      <w:r>
        <w:rPr>
          <w:rFonts w:hint="eastAsia" w:ascii="宋体" w:hAnsi="宋体" w:eastAsia="宋体" w:cs="宋体"/>
          <w:i w:val="0"/>
          <w:iCs w:val="0"/>
          <w:caps w:val="0"/>
          <w:color w:val="000000"/>
          <w:spacing w:val="0"/>
          <w:sz w:val="32"/>
          <w:szCs w:val="32"/>
          <w:bdr w:val="none" w:color="auto" w:sz="0" w:space="0"/>
          <w:shd w:val="clear" w:fill="FFFFFF"/>
        </w:rPr>
        <w:t>1.2022</w:t>
      </w:r>
      <w:r>
        <w:rPr>
          <w:rFonts w:hint="eastAsia" w:ascii="仿宋_GB2312" w:hAnsi="宋体" w:eastAsia="仿宋_GB2312" w:cs="仿宋_GB2312"/>
          <w:i w:val="0"/>
          <w:iCs w:val="0"/>
          <w:caps w:val="0"/>
          <w:color w:val="000000"/>
          <w:spacing w:val="0"/>
          <w:sz w:val="32"/>
          <w:szCs w:val="32"/>
          <w:bdr w:val="none" w:color="auto" w:sz="0" w:space="0"/>
          <w:shd w:val="clear" w:fill="FFFFFF"/>
        </w:rPr>
        <w:t>年蔬菜产业高质量发展指导计划</w:t>
      </w:r>
    </w:p>
    <w:p w14:paraId="39FF8F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40" w:lineRule="atLeast"/>
        <w:ind w:left="0" w:right="0" w:firstLine="618"/>
        <w:jc w:val="both"/>
        <w:rPr>
          <w:rFonts w:hint="eastAsia" w:ascii="宋体" w:hAnsi="宋体" w:eastAsia="宋体" w:cs="宋体"/>
          <w:i w:val="0"/>
          <w:iCs w:val="0"/>
          <w:caps w:val="0"/>
          <w:color w:val="000000"/>
          <w:spacing w:val="0"/>
          <w:sz w:val="28"/>
          <w:szCs w:val="28"/>
        </w:rPr>
      </w:pPr>
      <w:r>
        <w:rPr>
          <w:rFonts w:hint="eastAsia" w:ascii="仿宋_GB2312" w:hAnsi="宋体" w:eastAsia="仿宋_GB2312" w:cs="仿宋_GB2312"/>
          <w:i w:val="0"/>
          <w:iCs w:val="0"/>
          <w:caps w:val="0"/>
          <w:color w:val="000000"/>
          <w:spacing w:val="0"/>
          <w:sz w:val="32"/>
          <w:szCs w:val="32"/>
          <w:bdr w:val="none" w:color="auto" w:sz="0" w:space="0"/>
          <w:shd w:val="clear" w:fill="FFFFFF"/>
        </w:rPr>
        <w:t>      </w:t>
      </w:r>
      <w:r>
        <w:rPr>
          <w:rFonts w:hint="eastAsia" w:ascii="宋体" w:hAnsi="宋体" w:eastAsia="宋体" w:cs="宋体"/>
          <w:i w:val="0"/>
          <w:iCs w:val="0"/>
          <w:caps w:val="0"/>
          <w:color w:val="000000"/>
          <w:spacing w:val="0"/>
          <w:sz w:val="32"/>
          <w:szCs w:val="32"/>
          <w:bdr w:val="none" w:color="auto" w:sz="0" w:space="0"/>
          <w:shd w:val="clear" w:fill="FFFFFF"/>
        </w:rPr>
        <w:t>2.2022</w:t>
      </w:r>
      <w:r>
        <w:rPr>
          <w:rFonts w:hint="eastAsia" w:ascii="仿宋_GB2312" w:hAnsi="宋体" w:eastAsia="仿宋_GB2312" w:cs="仿宋_GB2312"/>
          <w:i w:val="0"/>
          <w:iCs w:val="0"/>
          <w:caps w:val="0"/>
          <w:color w:val="000000"/>
          <w:spacing w:val="0"/>
          <w:sz w:val="32"/>
          <w:szCs w:val="32"/>
          <w:bdr w:val="none" w:color="auto" w:sz="0" w:space="0"/>
          <w:shd w:val="clear" w:fill="FFFFFF"/>
        </w:rPr>
        <w:t>年蔬菜产业高质量发展考评细则</w:t>
      </w:r>
    </w:p>
    <w:p w14:paraId="429DC4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60" w:lineRule="atLeast"/>
        <w:ind w:left="0" w:right="0" w:firstLine="618"/>
        <w:jc w:val="both"/>
        <w:rPr>
          <w:rFonts w:hint="eastAsia" w:ascii="宋体" w:hAnsi="宋体" w:eastAsia="宋体" w:cs="宋体"/>
          <w:i w:val="0"/>
          <w:iCs w:val="0"/>
          <w:caps w:val="0"/>
          <w:color w:val="000000"/>
          <w:spacing w:val="0"/>
          <w:sz w:val="28"/>
          <w:szCs w:val="28"/>
        </w:rPr>
      </w:pPr>
      <w:r>
        <w:rPr>
          <w:rFonts w:hint="eastAsia" w:ascii="仿宋_GB2312" w:hAnsi="宋体" w:eastAsia="仿宋_GB2312" w:cs="仿宋_GB2312"/>
          <w:i w:val="0"/>
          <w:iCs w:val="0"/>
          <w:caps w:val="0"/>
          <w:color w:val="000000"/>
          <w:spacing w:val="0"/>
          <w:sz w:val="32"/>
          <w:szCs w:val="32"/>
          <w:bdr w:val="none" w:color="auto" w:sz="0" w:space="0"/>
          <w:shd w:val="clear" w:fill="FFFFFF"/>
        </w:rPr>
        <w:t> </w:t>
      </w:r>
    </w:p>
    <w:p w14:paraId="424F13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14:paraId="6DDF46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14:paraId="3B117E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w:t>
      </w:r>
    </w:p>
    <w:p w14:paraId="118340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1</w:t>
      </w:r>
    </w:p>
    <w:p w14:paraId="16E218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72" w:beforeAutospacing="0" w:after="172"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44"/>
          <w:szCs w:val="44"/>
          <w:bdr w:val="none" w:color="auto" w:sz="0" w:space="0"/>
          <w:shd w:val="clear" w:fill="FFFFFF"/>
          <w:lang w:val="en-US" w:eastAsia="zh-CN" w:bidi="ar"/>
        </w:rPr>
        <w:t>2022</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年蔬菜产业高质量发展指导计划</w:t>
      </w:r>
    </w:p>
    <w:tbl>
      <w:tblPr>
        <w:tblW w:w="931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999"/>
        <w:gridCol w:w="1386"/>
        <w:gridCol w:w="1251"/>
        <w:gridCol w:w="1218"/>
        <w:gridCol w:w="1080"/>
        <w:gridCol w:w="912"/>
        <w:gridCol w:w="1281"/>
        <w:gridCol w:w="1188"/>
      </w:tblGrid>
      <w:tr w14:paraId="6AA323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7" w:hRule="atLeast"/>
          <w:jc w:val="center"/>
        </w:trPr>
        <w:tc>
          <w:tcPr>
            <w:tcW w:w="999"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AB347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县别</w:t>
            </w:r>
          </w:p>
        </w:tc>
        <w:tc>
          <w:tcPr>
            <w:tcW w:w="138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AACA3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现有基地巩固提升</w:t>
            </w:r>
          </w:p>
        </w:tc>
        <w:tc>
          <w:tcPr>
            <w:tcW w:w="2469"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2BB7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新建设施蔬菜基地</w:t>
            </w:r>
          </w:p>
        </w:tc>
        <w:tc>
          <w:tcPr>
            <w:tcW w:w="1992"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6DE99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职业菜农培育</w:t>
            </w:r>
          </w:p>
        </w:tc>
        <w:tc>
          <w:tcPr>
            <w:tcW w:w="2469"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207D0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品质品牌提升</w:t>
            </w:r>
          </w:p>
        </w:tc>
      </w:tr>
      <w:tr w14:paraId="103A0E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999"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72A9B28">
            <w:pPr>
              <w:rPr>
                <w:rFonts w:hint="default" w:ascii="Times New Roman" w:hAnsi="Times New Roman" w:cs="Times New Roman"/>
                <w:i w:val="0"/>
                <w:iCs w:val="0"/>
                <w:caps w:val="0"/>
                <w:color w:val="333333"/>
                <w:spacing w:val="0"/>
                <w:sz w:val="20"/>
                <w:szCs w:val="20"/>
              </w:rPr>
            </w:pP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48D36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存量大棚设施基地标准化改造（亩）</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4958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新（扩）建规模大棚设施蔬菜基地面积（亩）</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B5303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新建规模露地设施蔬菜基地面积（亩）</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B769D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新培育职业菜农（户）</w:t>
            </w:r>
          </w:p>
        </w:tc>
        <w:tc>
          <w:tcPr>
            <w:tcW w:w="91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A4EF2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线下技术培训（人次）</w:t>
            </w:r>
          </w:p>
        </w:tc>
        <w:tc>
          <w:tcPr>
            <w:tcW w:w="12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15BCF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新认定大湾区“菜篮子”蔬菜生产基地（个）</w:t>
            </w:r>
          </w:p>
        </w:tc>
        <w:tc>
          <w:tcPr>
            <w:tcW w:w="118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CAA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i w:val="0"/>
                <w:iCs w:val="0"/>
                <w:caps w:val="0"/>
                <w:color w:val="000000"/>
                <w:spacing w:val="0"/>
                <w:kern w:val="0"/>
                <w:sz w:val="21"/>
                <w:szCs w:val="21"/>
                <w:bdr w:val="none" w:color="auto" w:sz="0" w:space="0"/>
                <w:lang w:val="en-US" w:eastAsia="zh-CN" w:bidi="ar"/>
              </w:rPr>
              <w:t>新注册富硒蔬菜产品品牌（个）</w:t>
            </w:r>
          </w:p>
        </w:tc>
      </w:tr>
      <w:tr w14:paraId="1A05F1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3C465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信丰县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FBBDB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3000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1095C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6000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32100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1000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BFCB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600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15DC9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D7E1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DE7E4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r>
      <w:tr w14:paraId="777E1A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85C53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兴国县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B3FF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5500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78DA4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BBC87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14CE3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03845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1600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FE41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A5FEB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r>
      <w:tr w14:paraId="4AF61A1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58530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宁都县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5509A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4000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6E3A9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6F08D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1800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F2CD6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952A4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DAEF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E9D2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r>
      <w:tr w14:paraId="46DDAF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4A1E3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于都县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5C0EB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7500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7B3C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3000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D4684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CD56B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91DE6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3E124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r>
      <w:tr w14:paraId="1DA96B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AE453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瑞金市</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EFEE7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4000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F81A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BCA5B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1E2C9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EE613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1600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A36D6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EBACC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4C7F61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CD4D4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会昌县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949C1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4800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30017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43023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7DA71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406B9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1600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C5A6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17DCB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703A11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48B4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章贡区</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8CD22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700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8548B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D77F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11276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E26B9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400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D7CA9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F73F7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w:t>
            </w:r>
          </w:p>
        </w:tc>
      </w:tr>
      <w:tr w14:paraId="43B2C9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AF426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南康区</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E2E46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2300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F054E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12732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2500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5155E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E4F43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637B6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CE9AD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2C021B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11E2E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赣县区</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50678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1600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F502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F7DA2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3000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496FB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D813C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59D21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2A4C2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73C01D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A79F0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大余县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D40B2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C6367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5CD6D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1100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59A89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DFD1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BB3B1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AC46F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56F160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E31F0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上犹县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24B5A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529F9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AF61E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BF099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275B0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984F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06FF8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6C9329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128F0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崇义县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008FC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1800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A56C7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1000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2B002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900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205F0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100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00CE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71F4E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F704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25DD4D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E54E5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安远县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E4F3D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1800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81439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C389A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1400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6E5E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37C5E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920DE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DE52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3E8898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E510B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龙南市</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1C8FA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1900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EF8D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A5077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F3C87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7028A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92681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11869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09E7C2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CBCC4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全南县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EB62A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3200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1061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23E42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32E0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6E160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D9580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0AF84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32DD0C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EC09E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定南县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FAE86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1000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42E01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D0435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2091B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120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7F9D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91F6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5A5E0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5E4796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1FF5B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寻乌县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8B77C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2700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B2250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5ABEC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600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AC835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9E542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0FD0D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60711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r>
      <w:tr w14:paraId="4AD304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D8CCE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石城县</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6E82F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2547A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DC488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DD2C8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150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50FF2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800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7E981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6C1BA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w:t>
            </w:r>
          </w:p>
        </w:tc>
      </w:tr>
      <w:tr w14:paraId="549D12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9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BAF1D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合计</w:t>
            </w:r>
          </w:p>
        </w:tc>
        <w:tc>
          <w:tcPr>
            <w:tcW w:w="13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49B27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50000</w:t>
            </w:r>
          </w:p>
        </w:tc>
        <w:tc>
          <w:tcPr>
            <w:tcW w:w="125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B0814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50000</w:t>
            </w:r>
          </w:p>
        </w:tc>
        <w:tc>
          <w:tcPr>
            <w:tcW w:w="12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78BFA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20000</w:t>
            </w:r>
          </w:p>
        </w:tc>
        <w:tc>
          <w:tcPr>
            <w:tcW w:w="10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A04F8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5000</w:t>
            </w:r>
          </w:p>
        </w:tc>
        <w:tc>
          <w:tcPr>
            <w:tcW w:w="9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4CA2E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20000</w:t>
            </w:r>
          </w:p>
        </w:tc>
        <w:tc>
          <w:tcPr>
            <w:tcW w:w="12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F22FE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23</w:t>
            </w:r>
          </w:p>
        </w:tc>
        <w:tc>
          <w:tcPr>
            <w:tcW w:w="118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EDCBD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20</w:t>
            </w:r>
          </w:p>
        </w:tc>
      </w:tr>
    </w:tbl>
    <w:p w14:paraId="4DE2C1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380" w:lineRule="atLeast"/>
        <w:ind w:left="0" w:right="-274" w:firstLine="538"/>
        <w:jc w:val="both"/>
        <w:rPr>
          <w:rFonts w:hint="eastAsia" w:ascii="宋体" w:hAnsi="宋体" w:eastAsia="宋体" w:cs="宋体"/>
          <w:i w:val="0"/>
          <w:iCs w:val="0"/>
          <w:caps w:val="0"/>
          <w:color w:val="000000"/>
          <w:spacing w:val="0"/>
          <w:sz w:val="28"/>
          <w:szCs w:val="28"/>
        </w:rPr>
      </w:pPr>
      <w:r>
        <w:rPr>
          <w:rFonts w:hint="eastAsia" w:ascii="仿宋_GB2312" w:hAnsi="宋体" w:eastAsia="仿宋_GB2312" w:cs="仿宋_GB2312"/>
          <w:i w:val="0"/>
          <w:iCs w:val="0"/>
          <w:caps w:val="0"/>
          <w:color w:val="000000"/>
          <w:spacing w:val="0"/>
          <w:sz w:val="28"/>
          <w:szCs w:val="28"/>
          <w:bdr w:val="none" w:color="auto" w:sz="0" w:space="0"/>
          <w:shd w:val="clear" w:fill="FFFFFF"/>
        </w:rPr>
        <w:t>说明：存量大棚设施基地标准化改造，主要根据各地现有基地规模，重点考虑</w:t>
      </w:r>
      <w:r>
        <w:rPr>
          <w:rFonts w:hint="eastAsia" w:ascii="宋体" w:hAnsi="宋体" w:eastAsia="宋体" w:cs="宋体"/>
          <w:i w:val="0"/>
          <w:iCs w:val="0"/>
          <w:caps w:val="0"/>
          <w:color w:val="000000"/>
          <w:spacing w:val="0"/>
          <w:sz w:val="28"/>
          <w:szCs w:val="28"/>
          <w:bdr w:val="none" w:color="auto" w:sz="0" w:space="0"/>
          <w:shd w:val="clear" w:fill="FFFFFF"/>
        </w:rPr>
        <w:t>2019</w:t>
      </w:r>
      <w:r>
        <w:rPr>
          <w:rFonts w:hint="eastAsia" w:ascii="仿宋_GB2312" w:hAnsi="宋体" w:eastAsia="仿宋_GB2312" w:cs="仿宋_GB2312"/>
          <w:i w:val="0"/>
          <w:iCs w:val="0"/>
          <w:caps w:val="0"/>
          <w:color w:val="000000"/>
          <w:spacing w:val="0"/>
          <w:sz w:val="28"/>
          <w:szCs w:val="28"/>
          <w:bdr w:val="none" w:color="auto" w:sz="0" w:space="0"/>
          <w:shd w:val="clear" w:fill="FFFFFF"/>
        </w:rPr>
        <w:t>年及以前建设的存量基地规模和基地建设整体标准化水平进行指导分配。新建设施蔬菜基地，综合考虑耕地保有量、现有基地规模和产业发展基础进行指导分配。</w:t>
      </w:r>
    </w:p>
    <w:p w14:paraId="0955D8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2</w:t>
      </w:r>
    </w:p>
    <w:p w14:paraId="18EC64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000000"/>
          <w:spacing w:val="0"/>
          <w:kern w:val="0"/>
          <w:sz w:val="24"/>
          <w:szCs w:val="24"/>
          <w:bdr w:val="none" w:color="auto" w:sz="0" w:space="0"/>
          <w:shd w:val="clear" w:fill="FFFFFF"/>
          <w:lang w:val="en-US" w:eastAsia="zh-CN" w:bidi="ar"/>
        </w:rPr>
        <w:t> </w:t>
      </w:r>
    </w:p>
    <w:p w14:paraId="47F826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44"/>
          <w:szCs w:val="44"/>
          <w:bdr w:val="none" w:color="auto" w:sz="0" w:space="0"/>
          <w:shd w:val="clear" w:fill="FFFFFF"/>
          <w:lang w:val="en-US" w:eastAsia="zh-CN" w:bidi="ar"/>
        </w:rPr>
        <w:t>2022</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年蔬菜产业高质量发展考评细则</w:t>
      </w:r>
    </w:p>
    <w:p w14:paraId="01AFDD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120" w:afterAutospacing="0" w:line="240" w:lineRule="atLeast"/>
        <w:ind w:left="397" w:right="0" w:firstLine="0"/>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333333"/>
          <w:spacing w:val="0"/>
          <w:sz w:val="21"/>
          <w:szCs w:val="21"/>
          <w:bdr w:val="none" w:color="auto" w:sz="0" w:space="0"/>
          <w:shd w:val="clear" w:fill="FFFFFF"/>
        </w:rPr>
        <w:t> </w:t>
      </w:r>
    </w:p>
    <w:tbl>
      <w:tblPr>
        <w:tblW w:w="9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351"/>
        <w:gridCol w:w="1781"/>
        <w:gridCol w:w="659"/>
        <w:gridCol w:w="5867"/>
      </w:tblGrid>
      <w:tr w14:paraId="1095D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97" w:hRule="atLeast"/>
          <w:jc w:val="center"/>
        </w:trPr>
        <w:tc>
          <w:tcPr>
            <w:tcW w:w="1351"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70A32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color w:val="000000"/>
                <w:kern w:val="0"/>
                <w:sz w:val="21"/>
                <w:szCs w:val="21"/>
                <w:bdr w:val="none" w:color="auto" w:sz="0" w:space="0"/>
                <w:lang w:val="en-US" w:eastAsia="zh-CN" w:bidi="ar"/>
              </w:rPr>
              <w:t>考评内容</w:t>
            </w:r>
          </w:p>
        </w:tc>
        <w:tc>
          <w:tcPr>
            <w:tcW w:w="1781"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14:paraId="2C8417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color w:val="000000"/>
                <w:kern w:val="0"/>
                <w:sz w:val="21"/>
                <w:szCs w:val="21"/>
                <w:bdr w:val="none" w:color="auto" w:sz="0" w:space="0"/>
                <w:lang w:val="en-US" w:eastAsia="zh-CN" w:bidi="ar"/>
              </w:rPr>
              <w:t>主要指标</w:t>
            </w:r>
          </w:p>
        </w:tc>
        <w:tc>
          <w:tcPr>
            <w:tcW w:w="659"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14:paraId="559D2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color w:val="000000"/>
                <w:kern w:val="0"/>
                <w:sz w:val="21"/>
                <w:szCs w:val="21"/>
                <w:bdr w:val="none" w:color="auto" w:sz="0" w:space="0"/>
                <w:lang w:val="en-US" w:eastAsia="zh-CN" w:bidi="ar"/>
              </w:rPr>
              <w:t>分值</w:t>
            </w:r>
          </w:p>
        </w:tc>
        <w:tc>
          <w:tcPr>
            <w:tcW w:w="5867"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14:paraId="395F11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黑体" w:hAnsi="宋体" w:eastAsia="黑体" w:cs="黑体"/>
                <w:color w:val="000000"/>
                <w:kern w:val="0"/>
                <w:sz w:val="21"/>
                <w:szCs w:val="21"/>
                <w:bdr w:val="none" w:color="auto" w:sz="0" w:space="0"/>
                <w:lang w:val="en-US" w:eastAsia="zh-CN" w:bidi="ar"/>
              </w:rPr>
              <w:t>考评标准</w:t>
            </w:r>
          </w:p>
        </w:tc>
      </w:tr>
      <w:tr w14:paraId="5EA95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3" w:hRule="atLeast"/>
          <w:jc w:val="center"/>
        </w:trPr>
        <w:tc>
          <w:tcPr>
            <w:tcW w:w="1351" w:type="dxa"/>
            <w:vMerge w:val="restar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00077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要素支撑保障（10分）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25177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政策扶持  </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E4535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87C13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县级层面出台蔬菜产业年度工作方案得1分；制定具体扶持政策，县级财政预算安排专项资金得2分。否则不得分。</w:t>
            </w:r>
          </w:p>
        </w:tc>
      </w:tr>
      <w:tr w14:paraId="4722E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177"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84AD8E2">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E00C8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组织领导</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61C0A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4</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C10EC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both"/>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成立以县级政府主要领导任组长的领导机构得1分；配齐配强懂管理、懂技术、懂销售等蔬菜产业工作专班得1分；领导重视，主要领导、分管领导经常深入一线调度协调，及时解决发展中的困难问题得2分。否则不得分。</w:t>
            </w:r>
          </w:p>
        </w:tc>
      </w:tr>
      <w:tr w14:paraId="59DF4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74"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D2D55F4">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C98E3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日常调度</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3FCA3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62C9E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both"/>
              <w:textAlignment w:val="center"/>
              <w:rPr>
                <w:rFonts w:hint="default" w:ascii="Times New Roman" w:hAnsi="Times New Roman" w:cs="Times New Roman"/>
                <w:sz w:val="21"/>
                <w:szCs w:val="21"/>
              </w:rPr>
            </w:pPr>
            <w:r>
              <w:rPr>
                <w:rFonts w:hint="eastAsia" w:ascii="宋体" w:hAnsi="宋体" w:eastAsia="宋体" w:cs="宋体"/>
                <w:color w:val="000000"/>
                <w:spacing w:val="-4"/>
                <w:kern w:val="0"/>
                <w:sz w:val="21"/>
                <w:szCs w:val="21"/>
                <w:bdr w:val="none" w:color="auto" w:sz="0" w:space="0"/>
                <w:lang w:val="en-US" w:eastAsia="zh-CN" w:bidi="ar"/>
              </w:rPr>
              <w:t>按市级要求规范建立蔬菜基地台账得1分，按要求在时间节点内如实报送情况汇报、月报表及其他材料的得2分。否则不得分。</w:t>
            </w:r>
          </w:p>
        </w:tc>
      </w:tr>
      <w:tr w14:paraId="50CC9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5" w:hRule="atLeast"/>
          <w:jc w:val="center"/>
        </w:trPr>
        <w:tc>
          <w:tcPr>
            <w:tcW w:w="1351" w:type="dxa"/>
            <w:vMerge w:val="restar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AAD56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提升巩固现有基地（18分）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5B0C6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大棚设施基地标准化改造</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CF55D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15</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9922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推动存量大棚设施基地标准化改造，破旧棚膜更新，全面完成年度下达的指导性计划的得满分，未完成的按百分比扣分。</w:t>
            </w:r>
          </w:p>
        </w:tc>
      </w:tr>
      <w:tr w14:paraId="26E5E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7"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FA2499C">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D54B9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落实生产种植计划</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F7871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0635A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both"/>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大棚设施基地全面落实生产种植计划制度的得满分，每发现一个基地未落实到位扣0.5分，扣完为止。</w:t>
            </w:r>
          </w:p>
        </w:tc>
      </w:tr>
      <w:tr w14:paraId="5B452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 w:hRule="atLeast"/>
          <w:jc w:val="center"/>
        </w:trPr>
        <w:tc>
          <w:tcPr>
            <w:tcW w:w="1351" w:type="dxa"/>
            <w:vMerge w:val="restar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97575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扩大设施规模（20分）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FD8FF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新建大棚设施蔬菜基地</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BE4B9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15</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F4197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19F81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4"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DC009B3">
            <w:pPr>
              <w:rPr>
                <w:rFonts w:hint="default" w:ascii="Times New Roman" w:hAnsi="Times New Roman" w:cs="Times New Roman"/>
                <w:sz w:val="20"/>
                <w:szCs w:val="20"/>
              </w:rPr>
            </w:pPr>
          </w:p>
        </w:tc>
        <w:tc>
          <w:tcPr>
            <w:tcW w:w="1781" w:type="dxa"/>
            <w:tcBorders>
              <w:top w:val="nil"/>
              <w:left w:val="nil"/>
              <w:bottom w:val="single" w:color="auto" w:sz="8" w:space="0"/>
              <w:right w:val="single" w:color="000000" w:sz="8" w:space="0"/>
            </w:tcBorders>
            <w:shd w:val="clear"/>
            <w:tcMar>
              <w:top w:w="0" w:type="dxa"/>
              <w:left w:w="108" w:type="dxa"/>
              <w:bottom w:w="0" w:type="dxa"/>
              <w:right w:w="108" w:type="dxa"/>
            </w:tcMar>
            <w:vAlign w:val="center"/>
          </w:tcPr>
          <w:p w14:paraId="00588F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新建露地设施蔬菜基地</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4B8A3C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5</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F67B4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08679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1351" w:type="dxa"/>
            <w:vMerge w:val="restart"/>
            <w:tcBorders>
              <w:top w:val="nil"/>
              <w:left w:val="single" w:color="auto" w:sz="8" w:space="0"/>
              <w:bottom w:val="nil"/>
              <w:right w:val="single" w:color="000000" w:sz="8" w:space="0"/>
            </w:tcBorders>
            <w:shd w:val="clear"/>
            <w:tcMar>
              <w:top w:w="0" w:type="dxa"/>
              <w:left w:w="108" w:type="dxa"/>
              <w:bottom w:w="0" w:type="dxa"/>
              <w:right w:w="108" w:type="dxa"/>
            </w:tcMar>
            <w:vAlign w:val="center"/>
          </w:tcPr>
          <w:p w14:paraId="795134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培育职业菜农（17分）</w:t>
            </w:r>
          </w:p>
        </w:tc>
        <w:tc>
          <w:tcPr>
            <w:tcW w:w="1781" w:type="dxa"/>
            <w:tcBorders>
              <w:top w:val="nil"/>
              <w:left w:val="nil"/>
              <w:bottom w:val="single" w:color="000000" w:sz="8" w:space="0"/>
              <w:right w:val="single" w:color="auto" w:sz="8" w:space="0"/>
            </w:tcBorders>
            <w:shd w:val="clear"/>
            <w:tcMar>
              <w:top w:w="0" w:type="dxa"/>
              <w:left w:w="108" w:type="dxa"/>
              <w:bottom w:w="0" w:type="dxa"/>
              <w:right w:w="108" w:type="dxa"/>
            </w:tcMar>
            <w:vAlign w:val="center"/>
          </w:tcPr>
          <w:p w14:paraId="23901D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培育职业菜农</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6407D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10</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44FEC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35B51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46" w:hRule="atLeast"/>
          <w:jc w:val="center"/>
        </w:trPr>
        <w:tc>
          <w:tcPr>
            <w:tcW w:w="1351" w:type="dxa"/>
            <w:vMerge w:val="continue"/>
            <w:tcBorders>
              <w:top w:val="nil"/>
              <w:left w:val="single" w:color="auto" w:sz="8" w:space="0"/>
              <w:bottom w:val="nil"/>
              <w:right w:val="single" w:color="000000" w:sz="8" w:space="0"/>
            </w:tcBorders>
            <w:shd w:val="clear"/>
            <w:tcMar>
              <w:top w:w="0" w:type="dxa"/>
              <w:left w:w="108" w:type="dxa"/>
              <w:bottom w:w="0" w:type="dxa"/>
              <w:right w:w="108" w:type="dxa"/>
            </w:tcMar>
            <w:vAlign w:val="center"/>
          </w:tcPr>
          <w:p w14:paraId="12780E63">
            <w:pPr>
              <w:rPr>
                <w:rFonts w:hint="default" w:ascii="Times New Roman" w:hAnsi="Times New Roman" w:cs="Times New Roman"/>
                <w:sz w:val="20"/>
                <w:szCs w:val="20"/>
              </w:rPr>
            </w:pPr>
          </w:p>
        </w:tc>
        <w:tc>
          <w:tcPr>
            <w:tcW w:w="17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6FF07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选树致富典型</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67F06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4</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38696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选树10户以上（重点县30户以上）的种菜致富典型，构建老带新、熟带生的传帮带机制得满分，按实际工作情况得分。</w:t>
            </w:r>
          </w:p>
        </w:tc>
      </w:tr>
      <w:tr w14:paraId="1F5D4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1351" w:type="dxa"/>
            <w:vMerge w:val="continue"/>
            <w:tcBorders>
              <w:top w:val="nil"/>
              <w:left w:val="single" w:color="auto" w:sz="8" w:space="0"/>
              <w:bottom w:val="nil"/>
              <w:right w:val="single" w:color="000000" w:sz="8" w:space="0"/>
            </w:tcBorders>
            <w:shd w:val="clear"/>
            <w:tcMar>
              <w:top w:w="0" w:type="dxa"/>
              <w:left w:w="108" w:type="dxa"/>
              <w:bottom w:w="0" w:type="dxa"/>
              <w:right w:w="108" w:type="dxa"/>
            </w:tcMar>
            <w:vAlign w:val="center"/>
          </w:tcPr>
          <w:p w14:paraId="5775E7EE">
            <w:pPr>
              <w:rPr>
                <w:rFonts w:hint="default" w:ascii="Times New Roman" w:hAnsi="Times New Roman" w:cs="Times New Roman"/>
                <w:sz w:val="20"/>
                <w:szCs w:val="20"/>
              </w:rPr>
            </w:pPr>
          </w:p>
        </w:tc>
        <w:tc>
          <w:tcPr>
            <w:tcW w:w="1781" w:type="dxa"/>
            <w:tcBorders>
              <w:top w:val="nil"/>
              <w:left w:val="nil"/>
              <w:bottom w:val="single" w:color="auto" w:sz="8" w:space="0"/>
              <w:right w:val="single" w:color="000000" w:sz="8" w:space="0"/>
            </w:tcBorders>
            <w:shd w:val="clear"/>
            <w:tcMar>
              <w:top w:w="0" w:type="dxa"/>
              <w:left w:w="108" w:type="dxa"/>
              <w:bottom w:w="0" w:type="dxa"/>
              <w:right w:w="108" w:type="dxa"/>
            </w:tcMar>
            <w:vAlign w:val="center"/>
          </w:tcPr>
          <w:p w14:paraId="70F3C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线下技术培训</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826A4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56F3C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49440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1" w:hRule="atLeast"/>
          <w:jc w:val="center"/>
        </w:trPr>
        <w:tc>
          <w:tcPr>
            <w:tcW w:w="1351" w:type="dxa"/>
            <w:vMerge w:val="restart"/>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989E2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提升产业发展标准（12分）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B8BE4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培育主导品种</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B7B26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47EDB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培育单一品种单茬设施种植面积达1500亩（重点县达5000亩）以上的主导品种得满分，否则按百分比扣分。设施面积不足3000亩的县（市、区）主导品种种植面积超过50%得满分，否则按百分比扣分。章贡区不做该要求。</w:t>
            </w:r>
          </w:p>
        </w:tc>
      </w:tr>
      <w:tr w14:paraId="4655B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18"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7D2E61E1">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14ABD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聘请菜技员      </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C0433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EF896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政府聘请菜技员开展巡回指导覆盖所有建成运营大棚设施基地的得满分，每发现一个基地未覆盖到位的扣0.3分。</w:t>
            </w:r>
          </w:p>
        </w:tc>
      </w:tr>
      <w:tr w14:paraId="6551C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5"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E171FBE">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EC97D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定向培养生</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73708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998DA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第一批乡镇蔬菜定向培养生专岗专用的得满分，发现不从事蔬菜产业发展的不得分。</w:t>
            </w:r>
          </w:p>
        </w:tc>
      </w:tr>
      <w:tr w14:paraId="36E06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1" w:hRule="atLeast"/>
          <w:jc w:val="center"/>
        </w:trPr>
        <w:tc>
          <w:tcPr>
            <w:tcW w:w="1351" w:type="dxa"/>
            <w:vMerge w:val="continue"/>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DD60C07">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467E5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拓展配套产业</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B9E0E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3E2A18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根据各地生产环节配套产业发展情况酌情给分。</w:t>
            </w:r>
          </w:p>
        </w:tc>
      </w:tr>
      <w:tr w14:paraId="3F3C9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2" w:hRule="atLeast"/>
          <w:jc w:val="center"/>
        </w:trPr>
        <w:tc>
          <w:tcPr>
            <w:tcW w:w="1351" w:type="dxa"/>
            <w:vMerge w:val="restart"/>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64F490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提升品质品牌（12分）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4330A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蔬菜生产监管</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834CD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3060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各类检查检测未发现违法违规事故的得满分，每发现一起蔬菜基地农残检测超标扣1分，发生重大安全事故的不得分。</w:t>
            </w:r>
          </w:p>
        </w:tc>
      </w:tr>
      <w:tr w14:paraId="3AE65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1347E8CA">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D9194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推进清洁生产  </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E6354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080156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both"/>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大棚设施基地全面推行清洁化生产到位的得满分，每发现一个基地未推行到位扣0.5分，扣完为止。</w:t>
            </w:r>
          </w:p>
        </w:tc>
      </w:tr>
      <w:tr w14:paraId="707A6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04C8DFD8">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107D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富硒产品认证</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66E7A1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4FDE4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13247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8"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4E0A7482">
            <w:pPr>
              <w:rPr>
                <w:rFonts w:hint="default" w:ascii="Times New Roman" w:hAnsi="Times New Roman" w:cs="Times New Roman"/>
                <w:sz w:val="20"/>
                <w:szCs w:val="20"/>
              </w:rPr>
            </w:pPr>
          </w:p>
        </w:tc>
        <w:tc>
          <w:tcPr>
            <w:tcW w:w="1781" w:type="dxa"/>
            <w:tcBorders>
              <w:top w:val="nil"/>
              <w:left w:val="nil"/>
              <w:bottom w:val="single" w:color="auto" w:sz="8" w:space="0"/>
              <w:right w:val="single" w:color="000000" w:sz="8" w:space="0"/>
            </w:tcBorders>
            <w:shd w:val="clear"/>
            <w:tcMar>
              <w:top w:w="0" w:type="dxa"/>
              <w:left w:w="108" w:type="dxa"/>
              <w:bottom w:w="0" w:type="dxa"/>
              <w:right w:w="108" w:type="dxa"/>
            </w:tcMar>
            <w:vAlign w:val="center"/>
          </w:tcPr>
          <w:p w14:paraId="789C8F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品牌宣传推广</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7B403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8075F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根据各地蔬菜产品品牌宣传情况酌情给分。</w:t>
            </w:r>
          </w:p>
        </w:tc>
      </w:tr>
      <w:tr w14:paraId="7D3E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7" w:hRule="atLeast"/>
          <w:jc w:val="center"/>
        </w:trPr>
        <w:tc>
          <w:tcPr>
            <w:tcW w:w="1351" w:type="dxa"/>
            <w:vMerge w:val="restart"/>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6D3210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畅通流通渠道（11分）</w:t>
            </w: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568E5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田头市场</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D93EE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2</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C497D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根据各地培育田头产地市场情况酌情给分。</w:t>
            </w:r>
          </w:p>
        </w:tc>
      </w:tr>
      <w:tr w14:paraId="06A5B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3"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001C1FEE">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8EA1E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采后处理设施</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430FE1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2</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3AD5DF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根据各地田头冷库建设和采后商品化处理情况酌情给分。</w:t>
            </w:r>
          </w:p>
        </w:tc>
      </w:tr>
      <w:tr w14:paraId="2729C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9"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74452F03">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29A5F6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大湾区认证</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D27A4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3</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94EBC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spacing w:val="-2"/>
                <w:kern w:val="0"/>
                <w:sz w:val="21"/>
                <w:szCs w:val="21"/>
                <w:bdr w:val="none" w:color="auto" w:sz="0" w:space="0"/>
                <w:lang w:val="en-US" w:eastAsia="zh-CN" w:bidi="ar"/>
              </w:rPr>
              <w:t>全面完成年度下达的指导性计划的得满分，未完成的按百分比扣分。</w:t>
            </w:r>
          </w:p>
        </w:tc>
      </w:tr>
      <w:tr w14:paraId="4628F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43" w:hRule="atLeast"/>
          <w:jc w:val="center"/>
        </w:trPr>
        <w:tc>
          <w:tcPr>
            <w:tcW w:w="1351" w:type="dxa"/>
            <w:vMerge w:val="continue"/>
            <w:tcBorders>
              <w:top w:val="nil"/>
              <w:left w:val="single" w:color="000000" w:sz="8" w:space="0"/>
              <w:bottom w:val="nil"/>
              <w:right w:val="single" w:color="000000" w:sz="8" w:space="0"/>
            </w:tcBorders>
            <w:shd w:val="clear"/>
            <w:tcMar>
              <w:top w:w="0" w:type="dxa"/>
              <w:left w:w="108" w:type="dxa"/>
              <w:bottom w:w="0" w:type="dxa"/>
              <w:right w:w="108" w:type="dxa"/>
            </w:tcMar>
            <w:vAlign w:val="center"/>
          </w:tcPr>
          <w:p w14:paraId="1F0F415D">
            <w:pPr>
              <w:rPr>
                <w:rFonts w:hint="default" w:ascii="Times New Roman" w:hAnsi="Times New Roman" w:cs="Times New Roman"/>
                <w:sz w:val="20"/>
                <w:szCs w:val="20"/>
              </w:rPr>
            </w:pPr>
          </w:p>
        </w:tc>
        <w:tc>
          <w:tcPr>
            <w:tcW w:w="17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938A4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开拓销售市场</w:t>
            </w:r>
          </w:p>
        </w:tc>
        <w:tc>
          <w:tcPr>
            <w:tcW w:w="6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5E0C52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4</w:t>
            </w:r>
          </w:p>
        </w:tc>
        <w:tc>
          <w:tcPr>
            <w:tcW w:w="5867"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F25EB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组建蔬菜销售团队的得2分、销售团队每成功开拓2个外埠市场（或销售渠道）得1分，本项最高4分，未组建销售团队不得分。</w:t>
            </w:r>
          </w:p>
        </w:tc>
      </w:tr>
      <w:tr w14:paraId="29B16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7" w:hRule="atLeast"/>
          <w:jc w:val="center"/>
        </w:trPr>
        <w:tc>
          <w:tcPr>
            <w:tcW w:w="1351"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790FF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扣分项    （</w:t>
            </w:r>
            <w:r>
              <w:rPr>
                <w:rFonts w:hint="eastAsia" w:ascii="宋体" w:hAnsi="宋体" w:eastAsia="宋体" w:cs="宋体"/>
                <w:i w:val="0"/>
                <w:iCs w:val="0"/>
                <w:color w:val="000000"/>
                <w:kern w:val="0"/>
                <w:sz w:val="21"/>
                <w:szCs w:val="21"/>
                <w:bdr w:val="none" w:color="auto" w:sz="0" w:space="0"/>
                <w:vertAlign w:val="superscript"/>
                <w:lang w:val="en-US" w:eastAsia="zh-CN" w:bidi="ar"/>
              </w:rPr>
              <w:t>≦</w:t>
            </w:r>
            <w:r>
              <w:rPr>
                <w:rFonts w:hint="eastAsia" w:ascii="宋体" w:hAnsi="宋体" w:eastAsia="宋体" w:cs="宋体"/>
                <w:color w:val="000000"/>
                <w:kern w:val="0"/>
                <w:sz w:val="21"/>
                <w:szCs w:val="21"/>
                <w:bdr w:val="none" w:color="auto" w:sz="0" w:space="0"/>
                <w:lang w:val="en-US" w:eastAsia="zh-CN" w:bidi="ar"/>
              </w:rPr>
              <w:t>5分）</w:t>
            </w:r>
          </w:p>
        </w:tc>
        <w:tc>
          <w:tcPr>
            <w:tcW w:w="8307"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7579C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存在空棚撂荒问题，上报面积台账不实，被上级约谈、通报批评，被投诉举报、媒体曝光属实造成不良影响，因违纪违规被纪检监察部门查处，发现蔬菜重大安全责任事故等，视情况扣1-5分。</w:t>
            </w:r>
          </w:p>
        </w:tc>
      </w:tr>
      <w:tr w14:paraId="6982A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4" w:hRule="atLeast"/>
          <w:jc w:val="center"/>
        </w:trPr>
        <w:tc>
          <w:tcPr>
            <w:tcW w:w="1351"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C3794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加分项     （</w:t>
            </w:r>
            <w:r>
              <w:rPr>
                <w:rFonts w:hint="eastAsia" w:ascii="宋体" w:hAnsi="宋体" w:eastAsia="宋体" w:cs="宋体"/>
                <w:i w:val="0"/>
                <w:iCs w:val="0"/>
                <w:color w:val="000000"/>
                <w:kern w:val="0"/>
                <w:sz w:val="21"/>
                <w:szCs w:val="21"/>
                <w:bdr w:val="none" w:color="auto" w:sz="0" w:space="0"/>
                <w:vertAlign w:val="superscript"/>
                <w:lang w:val="en-US" w:eastAsia="zh-CN" w:bidi="ar"/>
              </w:rPr>
              <w:t>≦</w:t>
            </w:r>
            <w:r>
              <w:rPr>
                <w:rFonts w:hint="eastAsia" w:ascii="宋体" w:hAnsi="宋体" w:eastAsia="宋体" w:cs="宋体"/>
                <w:color w:val="000000"/>
                <w:kern w:val="0"/>
                <w:sz w:val="21"/>
                <w:szCs w:val="21"/>
                <w:bdr w:val="none" w:color="auto" w:sz="0" w:space="0"/>
                <w:lang w:val="en-US" w:eastAsia="zh-CN" w:bidi="ar"/>
              </w:rPr>
              <w:t>5分）</w:t>
            </w:r>
          </w:p>
        </w:tc>
        <w:tc>
          <w:tcPr>
            <w:tcW w:w="8307" w:type="dxa"/>
            <w:gridSpan w:val="3"/>
            <w:tcBorders>
              <w:top w:val="nil"/>
              <w:left w:val="nil"/>
              <w:bottom w:val="single" w:color="000000" w:sz="8" w:space="0"/>
              <w:right w:val="single" w:color="000000" w:sz="8" w:space="0"/>
            </w:tcBorders>
            <w:shd w:val="clear"/>
            <w:tcMar>
              <w:top w:w="0" w:type="dxa"/>
              <w:left w:w="108" w:type="dxa"/>
              <w:bottom w:w="0" w:type="dxa"/>
              <w:right w:w="108" w:type="dxa"/>
            </w:tcMar>
            <w:vAlign w:val="center"/>
          </w:tcPr>
          <w:p w14:paraId="1B092B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在省级以上党委政府召开的会议上作正面发言，得到市级以上党委政府领导正面批示，承办市级以上会议等活动，列入年度全市流动现场会现场察看，获市级以上表彰、荣誉称号，获得市厅级以上科技类成果奖项等，视情况加1-5分。</w:t>
            </w:r>
          </w:p>
        </w:tc>
      </w:tr>
      <w:tr w14:paraId="2BB35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0" w:hRule="atLeast"/>
          <w:jc w:val="center"/>
        </w:trPr>
        <w:tc>
          <w:tcPr>
            <w:tcW w:w="9658" w:type="dxa"/>
            <w:gridSpan w:val="4"/>
            <w:tcBorders>
              <w:top w:val="nil"/>
              <w:left w:val="nil"/>
              <w:bottom w:val="nil"/>
              <w:right w:val="nil"/>
            </w:tcBorders>
            <w:shd w:val="clear"/>
            <w:tcMar>
              <w:top w:w="0" w:type="dxa"/>
              <w:left w:w="108" w:type="dxa"/>
              <w:bottom w:w="0" w:type="dxa"/>
              <w:right w:w="108" w:type="dxa"/>
            </w:tcMar>
            <w:vAlign w:val="center"/>
          </w:tcPr>
          <w:p w14:paraId="4B6327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textAlignment w:val="center"/>
              <w:rPr>
                <w:rFonts w:hint="default" w:ascii="Times New Roman" w:hAnsi="Times New Roman" w:cs="Times New Roman"/>
                <w:sz w:val="21"/>
                <w:szCs w:val="21"/>
              </w:rPr>
            </w:pPr>
            <w:r>
              <w:rPr>
                <w:rFonts w:hint="eastAsia" w:ascii="宋体" w:hAnsi="宋体" w:eastAsia="宋体" w:cs="宋体"/>
                <w:color w:val="000000"/>
                <w:kern w:val="0"/>
                <w:sz w:val="21"/>
                <w:szCs w:val="21"/>
                <w:bdr w:val="none" w:color="auto" w:sz="0" w:space="0"/>
                <w:lang w:val="en-US" w:eastAsia="zh-CN" w:bidi="ar"/>
              </w:rPr>
              <w:t>   </w:t>
            </w:r>
          </w:p>
        </w:tc>
      </w:tr>
    </w:tbl>
    <w:p w14:paraId="24967D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宋体" w:hAnsi="宋体" w:eastAsia="宋体" w:cs="宋体"/>
          <w:i w:val="0"/>
          <w:iCs w:val="0"/>
          <w:caps w:val="0"/>
          <w:color w:val="000000"/>
          <w:spacing w:val="0"/>
          <w:kern w:val="0"/>
          <w:sz w:val="32"/>
          <w:szCs w:val="32"/>
          <w:bdr w:val="none" w:color="auto" w:sz="0" w:space="0"/>
          <w:shd w:val="clear" w:fill="FFFFFF"/>
          <w:lang w:val="en-US" w:eastAsia="zh-CN" w:bidi="ar"/>
        </w:rPr>
        <w:t> </w:t>
      </w:r>
    </w:p>
    <w:p w14:paraId="7A34A8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i w:val="0"/>
          <w:iCs w:val="0"/>
          <w:caps w:val="0"/>
          <w:color w:val="333333"/>
          <w:spacing w:val="0"/>
          <w:sz w:val="21"/>
          <w:szCs w:val="21"/>
        </w:rPr>
      </w:pPr>
      <w:r>
        <w:rPr>
          <w:rFonts w:hint="eastAsia" w:ascii="仿宋_GB2312" w:hAnsi="Times New Roman" w:eastAsia="仿宋_GB2312" w:cs="仿宋_GB2312"/>
          <w:i w:val="0"/>
          <w:iCs w:val="0"/>
          <w:caps w:val="0"/>
          <w:color w:val="333333"/>
          <w:spacing w:val="0"/>
          <w:kern w:val="0"/>
          <w:sz w:val="32"/>
          <w:szCs w:val="32"/>
          <w:bdr w:val="none" w:color="auto" w:sz="0" w:space="0"/>
          <w:shd w:val="clear" w:fill="FFFFFF"/>
          <w:lang w:val="en-US" w:eastAsia="zh-CN" w:bidi="ar"/>
        </w:rPr>
        <w:t> </w:t>
      </w:r>
    </w:p>
    <w:p w14:paraId="7EF6CB84"/>
    <w:sectPr>
      <w:pgSz w:w="11906" w:h="16838"/>
      <w:pgMar w:top="2098" w:right="1587" w:bottom="2098"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DE3A8D"/>
    <w:rsid w:val="211B1DEB"/>
    <w:rsid w:val="46753423"/>
    <w:rsid w:val="679151C4"/>
    <w:rsid w:val="79DE3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5">
    <w:name w:val="公文"/>
    <w:basedOn w:val="1"/>
    <w:qFormat/>
    <w:uiPriority w:val="0"/>
    <w:pPr>
      <w:spacing w:line="560" w:lineRule="exact"/>
      <w:ind w:left="0" w:firstLine="0" w:firstLineChars="0"/>
    </w:pPr>
    <w:rPr>
      <w:rFonts w:ascii="Times New Roman" w:hAnsi="Times New Roman"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6</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2025-07-23T08:49:00Z</dcterms:created>
  <dc:creator>自由幻想&amp;&amp;</dc:creator>
  <cp:lastModifiedBy>自由幻想&amp;&amp;</cp:lastModifiedBy>
  <dcterms:modified xsi:type="dcterms:W3CDTF">2025-07-23T08:50:28Z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2E97E5E649F544F8B6FC484A6D3B403F_11</vt:lpwstr>
  </property>
  <property fmtid="{D5CDD505-2E9C-101B-9397-08002B2CF9AE}" pid="4" name="KSOTemplateDocerSaveRecord">
    <vt:lpwstr>eyJoZGlkIjoiMTljZGM0MWY1ZTI3NjJjNWFjZWIwYjk0NGMyYjQxNTIiLCJ1c2VySWQiOiI0MDE2OTYxODAifQ==</vt:lpwstr>
  </property>
</Properties>
</file>