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ECC9F">
      <w:pPr>
        <w:keepNext w:val="0"/>
        <w:keepLines w:val="0"/>
        <w:widowControl/>
        <w:suppressLineNumbers w:val="0"/>
        <w:spacing w:before="0" w:beforeAutospacing="0" w:after="0" w:afterAutospacing="0" w:line="540" w:lineRule="atLeast"/>
        <w:ind w:left="0" w:right="0"/>
        <w:jc w:val="center"/>
        <w:rPr>
          <w:rFonts w:hint="default" w:ascii="Times New Roman" w:hAnsi="Times New Roman" w:cs="Times New Roman"/>
          <w:sz w:val="21"/>
          <w:szCs w:val="21"/>
        </w:rPr>
      </w:pPr>
      <w:r>
        <w:rPr>
          <w:rFonts w:ascii="仿宋_GB2312" w:hAnsi="Times New Roman" w:eastAsia="仿宋_GB2312" w:cs="仿宋_GB2312"/>
          <w:spacing w:val="0"/>
          <w:kern w:val="0"/>
          <w:sz w:val="30"/>
          <w:szCs w:val="30"/>
          <w:lang w:val="en-US" w:eastAsia="zh-CN" w:bidi="ar"/>
        </w:rPr>
        <w:t> </w:t>
      </w:r>
    </w:p>
    <w:p w14:paraId="3911BF12">
      <w:pPr>
        <w:keepNext w:val="0"/>
        <w:keepLines w:val="0"/>
        <w:widowControl/>
        <w:suppressLineNumbers w:val="0"/>
        <w:spacing w:before="0" w:beforeAutospacing="0" w:after="0" w:afterAutospacing="0" w:line="5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pacing w:val="0"/>
          <w:kern w:val="0"/>
          <w:sz w:val="30"/>
          <w:szCs w:val="30"/>
          <w:lang w:val="en-US" w:eastAsia="zh-CN" w:bidi="ar"/>
        </w:rPr>
        <w:t> </w:t>
      </w:r>
    </w:p>
    <w:p w14:paraId="373FED59">
      <w:pPr>
        <w:keepNext w:val="0"/>
        <w:keepLines w:val="0"/>
        <w:widowControl/>
        <w:suppressLineNumbers w:val="0"/>
        <w:spacing w:before="0" w:beforeAutospacing="0" w:after="0" w:afterAutospacing="0" w:line="540" w:lineRule="atLeast"/>
        <w:ind w:left="0" w:right="0" w:firstLine="578"/>
        <w:jc w:val="both"/>
        <w:rPr>
          <w:rFonts w:hint="default" w:ascii="Times New Roman" w:hAnsi="Times New Roman" w:cs="Times New Roman"/>
          <w:sz w:val="21"/>
          <w:szCs w:val="21"/>
        </w:rPr>
      </w:pPr>
      <w:r>
        <w:rPr>
          <w:rFonts w:hint="eastAsia" w:ascii="仿宋_GB2312" w:hAnsi="Times New Roman" w:eastAsia="仿宋_GB2312" w:cs="仿宋_GB2312"/>
          <w:spacing w:val="0"/>
          <w:kern w:val="0"/>
          <w:sz w:val="30"/>
          <w:szCs w:val="30"/>
          <w:lang w:val="en-US" w:eastAsia="zh-CN" w:bidi="ar"/>
        </w:rPr>
        <w:t> </w:t>
      </w:r>
    </w:p>
    <w:p w14:paraId="32B2F001">
      <w:pPr>
        <w:keepNext w:val="0"/>
        <w:keepLines w:val="0"/>
        <w:widowControl/>
        <w:suppressLineNumbers w:val="0"/>
        <w:spacing w:before="0" w:beforeAutospacing="0" w:after="0" w:afterAutospacing="0" w:line="540" w:lineRule="atLeast"/>
        <w:ind w:left="0" w:right="0" w:firstLine="578"/>
        <w:jc w:val="both"/>
        <w:rPr>
          <w:rFonts w:hint="default" w:ascii="Times New Roman" w:hAnsi="Times New Roman" w:cs="Times New Roman"/>
          <w:sz w:val="21"/>
          <w:szCs w:val="21"/>
        </w:rPr>
      </w:pPr>
      <w:r>
        <w:rPr>
          <w:rFonts w:hint="eastAsia" w:ascii="仿宋_GB2312" w:hAnsi="Times New Roman" w:eastAsia="仿宋_GB2312" w:cs="仿宋_GB2312"/>
          <w:spacing w:val="0"/>
          <w:kern w:val="0"/>
          <w:sz w:val="30"/>
          <w:szCs w:val="30"/>
          <w:lang w:val="en-US" w:eastAsia="zh-CN" w:bidi="ar"/>
        </w:rPr>
        <w:t> </w:t>
      </w:r>
    </w:p>
    <w:p w14:paraId="167A8AFB">
      <w:pPr>
        <w:keepNext w:val="0"/>
        <w:keepLines w:val="0"/>
        <w:widowControl/>
        <w:suppressLineNumbers w:val="0"/>
        <w:spacing w:before="0" w:beforeAutospacing="0" w:after="0" w:afterAutospacing="0" w:line="540" w:lineRule="atLeast"/>
        <w:ind w:left="0" w:right="0" w:firstLine="578"/>
        <w:jc w:val="both"/>
        <w:rPr>
          <w:rFonts w:hint="default" w:ascii="Times New Roman" w:hAnsi="Times New Roman" w:cs="Times New Roman"/>
          <w:sz w:val="21"/>
          <w:szCs w:val="21"/>
        </w:rPr>
      </w:pPr>
      <w:r>
        <w:rPr>
          <w:rFonts w:hint="eastAsia" w:ascii="仿宋_GB2312" w:hAnsi="Times New Roman" w:eastAsia="仿宋_GB2312" w:cs="仿宋_GB2312"/>
          <w:spacing w:val="0"/>
          <w:kern w:val="0"/>
          <w:sz w:val="30"/>
          <w:szCs w:val="30"/>
          <w:lang w:val="en-US" w:eastAsia="zh-CN" w:bidi="ar"/>
        </w:rPr>
        <w:t> </w:t>
      </w:r>
    </w:p>
    <w:p w14:paraId="0719C6CC">
      <w:pPr>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pacing w:val="0"/>
          <w:kern w:val="0"/>
          <w:sz w:val="30"/>
          <w:szCs w:val="30"/>
          <w:lang w:val="en-US" w:eastAsia="zh-CN" w:bidi="ar"/>
        </w:rPr>
        <w:t> </w:t>
      </w:r>
    </w:p>
    <w:p w14:paraId="0B4F5410">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bookmarkStart w:id="0" w:name="_GoBack"/>
      <w:r>
        <w:rPr>
          <w:rFonts w:hint="eastAsia" w:ascii="仿宋_GB2312" w:hAnsi="Times New Roman" w:eastAsia="仿宋_GB2312" w:cs="仿宋_GB2312"/>
          <w:spacing w:val="0"/>
          <w:kern w:val="0"/>
          <w:sz w:val="32"/>
          <w:szCs w:val="32"/>
          <w:lang w:val="en-US" w:eastAsia="zh-CN" w:bidi="ar"/>
        </w:rPr>
        <w:t>赣市府办字〔</w:t>
      </w:r>
      <w:r>
        <w:rPr>
          <w:rFonts w:hint="eastAsia" w:ascii="宋体" w:hAnsi="宋体" w:eastAsia="宋体" w:cs="宋体"/>
          <w:spacing w:val="0"/>
          <w:kern w:val="0"/>
          <w:sz w:val="32"/>
          <w:szCs w:val="32"/>
          <w:lang w:val="en-US" w:eastAsia="zh-CN" w:bidi="ar"/>
        </w:rPr>
        <w:t>2025</w:t>
      </w:r>
      <w:r>
        <w:rPr>
          <w:rFonts w:hint="eastAsia" w:ascii="仿宋_GB2312" w:hAnsi="Times New Roman" w:eastAsia="仿宋_GB2312" w:cs="仿宋_GB2312"/>
          <w:spacing w:val="0"/>
          <w:kern w:val="0"/>
          <w:sz w:val="32"/>
          <w:szCs w:val="32"/>
          <w:lang w:val="en-US" w:eastAsia="zh-CN" w:bidi="ar"/>
        </w:rPr>
        <w:t>〕</w:t>
      </w:r>
      <w:r>
        <w:rPr>
          <w:rFonts w:hint="eastAsia" w:ascii="宋体" w:hAnsi="宋体" w:eastAsia="宋体" w:cs="宋体"/>
          <w:spacing w:val="0"/>
          <w:kern w:val="0"/>
          <w:sz w:val="32"/>
          <w:szCs w:val="32"/>
          <w:lang w:val="en-US" w:eastAsia="zh-CN" w:bidi="ar"/>
        </w:rPr>
        <w:t>12</w:t>
      </w:r>
      <w:r>
        <w:rPr>
          <w:rFonts w:hint="eastAsia" w:ascii="仿宋_GB2312" w:hAnsi="Times New Roman" w:eastAsia="仿宋_GB2312" w:cs="仿宋_GB2312"/>
          <w:spacing w:val="0"/>
          <w:kern w:val="0"/>
          <w:sz w:val="32"/>
          <w:szCs w:val="32"/>
          <w:lang w:val="en-US" w:eastAsia="zh-CN" w:bidi="ar"/>
        </w:rPr>
        <w:t>号</w:t>
      </w:r>
      <w:bookmarkEnd w:id="0"/>
    </w:p>
    <w:p w14:paraId="7DCD80A3">
      <w:pPr>
        <w:keepNext w:val="0"/>
        <w:keepLines w:val="0"/>
        <w:widowControl/>
        <w:suppressLineNumbers w:val="0"/>
        <w:spacing w:before="0" w:beforeAutospacing="0" w:after="0" w:afterAutospacing="0" w:line="42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spacing w:val="0"/>
          <w:kern w:val="0"/>
          <w:sz w:val="32"/>
          <w:szCs w:val="32"/>
          <w:lang w:val="en-US" w:eastAsia="zh-CN" w:bidi="ar"/>
        </w:rPr>
        <w:t> </w:t>
      </w:r>
    </w:p>
    <w:p w14:paraId="2D169FE3">
      <w:pPr>
        <w:keepNext w:val="0"/>
        <w:keepLines w:val="0"/>
        <w:widowControl/>
        <w:suppressLineNumbers w:val="0"/>
        <w:spacing w:before="0" w:beforeAutospacing="0" w:after="0" w:afterAutospacing="0" w:line="420" w:lineRule="atLeast"/>
        <w:ind w:left="0" w:right="0" w:firstLine="398"/>
        <w:jc w:val="both"/>
        <w:rPr>
          <w:rFonts w:hint="default" w:ascii="Times New Roman" w:hAnsi="Times New Roman" w:cs="Times New Roman"/>
          <w:sz w:val="21"/>
          <w:szCs w:val="21"/>
        </w:rPr>
      </w:pPr>
      <w:r>
        <w:rPr>
          <w:rFonts w:hint="eastAsia" w:ascii="仿宋_GB2312" w:hAnsi="Times New Roman" w:eastAsia="仿宋_GB2312" w:cs="仿宋_GB2312"/>
          <w:spacing w:val="0"/>
          <w:kern w:val="0"/>
          <w:sz w:val="21"/>
          <w:szCs w:val="21"/>
          <w:lang w:val="en-US" w:eastAsia="zh-CN" w:bidi="ar"/>
        </w:rPr>
        <w:t> </w:t>
      </w:r>
    </w:p>
    <w:p w14:paraId="14746509">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ascii="方正小标宋_GBK" w:hAnsi="方正小标宋_GBK" w:eastAsia="方正小标宋_GBK" w:cs="方正小标宋_GBK"/>
          <w:spacing w:val="0"/>
          <w:kern w:val="0"/>
          <w:sz w:val="44"/>
          <w:szCs w:val="44"/>
          <w:lang w:val="en-US" w:eastAsia="zh-CN" w:bidi="ar"/>
        </w:rPr>
        <w:t>赣州市人民政府办公室</w:t>
      </w:r>
      <w:r>
        <w:rPr>
          <w:rFonts w:ascii="方正小标宋简体" w:hAnsi="方正小标宋简体" w:eastAsia="方正小标宋简体" w:cs="方正小标宋简体"/>
          <w:kern w:val="0"/>
          <w:sz w:val="44"/>
          <w:szCs w:val="44"/>
          <w:lang w:val="en-US" w:eastAsia="zh-CN" w:bidi="ar"/>
        </w:rPr>
        <w:t>关于印发</w:t>
      </w:r>
    </w:p>
    <w:p w14:paraId="5409B102">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方正小标宋简体" w:hAnsi="方正小标宋简体" w:eastAsia="方正小标宋简体" w:cs="方正小标宋简体"/>
          <w:kern w:val="0"/>
          <w:sz w:val="44"/>
          <w:szCs w:val="44"/>
          <w:lang w:val="en-US" w:eastAsia="zh-CN" w:bidi="ar"/>
        </w:rPr>
        <w:t>赣州市支持文旅产业发展若干措施的通知</w:t>
      </w:r>
    </w:p>
    <w:p w14:paraId="39D22067">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方正小标宋简体" w:hAnsi="方正小标宋简体" w:eastAsia="方正小标宋简体" w:cs="方正小标宋简体"/>
          <w:kern w:val="0"/>
          <w:sz w:val="44"/>
          <w:szCs w:val="44"/>
          <w:lang w:val="en-US" w:eastAsia="zh-CN" w:bidi="ar"/>
        </w:rPr>
        <w:t> </w:t>
      </w:r>
    </w:p>
    <w:p w14:paraId="5A5C452A">
      <w:pPr>
        <w:keepNext w:val="0"/>
        <w:keepLines w:val="0"/>
        <w:widowControl/>
        <w:suppressLineNumbers w:val="0"/>
        <w:spacing w:before="0" w:beforeAutospacing="0" w:after="0" w:afterAutospacing="0" w:line="56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各县（市、区）人民政府，市政府各部门，市属、驻市各单位：</w:t>
      </w:r>
    </w:p>
    <w:p w14:paraId="41B0E4F6">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《赣州市支持文旅产业发展若干措施》已经市政府同意，现印发给你们，请结合实际抓好贯彻落实。</w:t>
      </w:r>
    </w:p>
    <w:p w14:paraId="5011201A">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方正小标宋简体" w:hAnsi="方正小标宋简体" w:eastAsia="方正小标宋简体" w:cs="方正小标宋简体"/>
          <w:spacing w:val="0"/>
          <w:kern w:val="0"/>
          <w:sz w:val="44"/>
          <w:szCs w:val="44"/>
          <w:lang w:val="en-US" w:eastAsia="zh-CN" w:bidi="ar"/>
        </w:rPr>
        <w:t> </w:t>
      </w:r>
    </w:p>
    <w:p w14:paraId="658C3E22">
      <w:pPr>
        <w:pStyle w:val="2"/>
        <w:keepNext w:val="0"/>
        <w:keepLines w:val="0"/>
        <w:widowControl/>
        <w:suppressLineNumbers w:val="0"/>
        <w:spacing w:before="0" w:beforeAutospacing="0" w:after="0" w:afterAutospacing="0" w:line="560" w:lineRule="atLeast"/>
        <w:ind w:left="0" w:right="0"/>
        <w:jc w:val="both"/>
        <w:rPr>
          <w:rFonts w:ascii="Calibri" w:hAnsi="Calibri" w:cs="Calibri"/>
          <w:sz w:val="21"/>
          <w:szCs w:val="21"/>
        </w:rPr>
      </w:pPr>
      <w:r>
        <w:rPr>
          <w:rFonts w:hint="eastAsia" w:ascii="宋体" w:hAnsi="宋体" w:eastAsia="宋体" w:cs="宋体"/>
          <w:spacing w:val="0"/>
          <w:sz w:val="21"/>
          <w:szCs w:val="21"/>
        </w:rPr>
        <w:t> </w:t>
      </w:r>
    </w:p>
    <w:p w14:paraId="7EDD7AE8">
      <w:pPr>
        <w:pStyle w:val="2"/>
        <w:keepNext w:val="0"/>
        <w:keepLines w:val="0"/>
        <w:widowControl/>
        <w:suppressLineNumbers w:val="0"/>
        <w:spacing w:before="0" w:beforeAutospacing="0" w:after="0" w:afterAutospacing="0" w:line="560" w:lineRule="atLeast"/>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 </w:t>
      </w:r>
    </w:p>
    <w:p w14:paraId="23670931">
      <w:pPr>
        <w:pStyle w:val="2"/>
        <w:keepNext w:val="0"/>
        <w:keepLines w:val="0"/>
        <w:widowControl/>
        <w:suppressLineNumbers w:val="0"/>
        <w:spacing w:before="0" w:beforeAutospacing="0" w:after="0" w:afterAutospacing="0" w:line="560" w:lineRule="atLeast"/>
        <w:ind w:left="0" w:right="0"/>
        <w:jc w:val="both"/>
        <w:rPr>
          <w:rFonts w:hint="default" w:ascii="Calibri" w:hAnsi="Calibri" w:cs="Calibri"/>
          <w:sz w:val="21"/>
          <w:szCs w:val="21"/>
        </w:rPr>
      </w:pPr>
      <w:r>
        <w:rPr>
          <w:rFonts w:hint="eastAsia" w:ascii="宋体" w:hAnsi="宋体" w:eastAsia="宋体" w:cs="宋体"/>
          <w:sz w:val="21"/>
          <w:szCs w:val="21"/>
        </w:rPr>
        <w:t> </w:t>
      </w:r>
    </w:p>
    <w:p w14:paraId="0B00BD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4668" w:right="1014" w:hanging="4668"/>
        <w:jc w:val="right"/>
        <w:rPr>
          <w:rFonts w:hint="default" w:ascii="Times New Roman" w:hAnsi="Times New Roman" w:cs="Times New Roman"/>
          <w:sz w:val="21"/>
          <w:szCs w:val="21"/>
        </w:rPr>
      </w:pPr>
      <w:r>
        <w:rPr>
          <w:rFonts w:hint="eastAsia" w:ascii="宋体" w:hAnsi="宋体" w:eastAsia="宋体" w:cs="宋体"/>
          <w:spacing w:val="40"/>
          <w:kern w:val="0"/>
          <w:sz w:val="32"/>
          <w:szCs w:val="32"/>
          <w:bdr w:val="none" w:color="auto" w:sz="0" w:space="0"/>
          <w:lang w:val="en-US" w:eastAsia="zh-CN" w:bidi="ar"/>
        </w:rPr>
        <w:t>2025</w:t>
      </w:r>
      <w:r>
        <w:rPr>
          <w:rFonts w:hint="eastAsia" w:ascii="仿宋_GB2312" w:hAnsi="Times New Roman" w:eastAsia="仿宋_GB2312" w:cs="仿宋_GB2312"/>
          <w:spacing w:val="40"/>
          <w:kern w:val="0"/>
          <w:sz w:val="32"/>
          <w:szCs w:val="32"/>
          <w:bdr w:val="none" w:color="auto" w:sz="0" w:space="0"/>
          <w:lang w:val="en-US" w:eastAsia="zh-CN" w:bidi="ar"/>
        </w:rPr>
        <w:t>年</w:t>
      </w:r>
      <w:r>
        <w:rPr>
          <w:rFonts w:hint="eastAsia" w:ascii="宋体" w:hAnsi="宋体" w:eastAsia="宋体" w:cs="宋体"/>
          <w:spacing w:val="40"/>
          <w:kern w:val="0"/>
          <w:sz w:val="32"/>
          <w:szCs w:val="32"/>
          <w:bdr w:val="none" w:color="auto" w:sz="0" w:space="0"/>
          <w:lang w:val="en-US" w:eastAsia="zh-CN" w:bidi="ar"/>
        </w:rPr>
        <w:t>2</w:t>
      </w:r>
      <w:r>
        <w:rPr>
          <w:rFonts w:hint="eastAsia" w:ascii="仿宋_GB2312" w:hAnsi="Times New Roman" w:eastAsia="仿宋_GB2312" w:cs="仿宋_GB2312"/>
          <w:spacing w:val="40"/>
          <w:kern w:val="0"/>
          <w:sz w:val="32"/>
          <w:szCs w:val="32"/>
          <w:bdr w:val="none" w:color="auto" w:sz="0" w:space="0"/>
          <w:lang w:val="en-US" w:eastAsia="zh-CN" w:bidi="ar"/>
        </w:rPr>
        <w:t>月</w:t>
      </w:r>
      <w:r>
        <w:rPr>
          <w:rFonts w:hint="eastAsia" w:ascii="宋体" w:hAnsi="宋体" w:eastAsia="宋体" w:cs="宋体"/>
          <w:spacing w:val="40"/>
          <w:kern w:val="0"/>
          <w:sz w:val="32"/>
          <w:szCs w:val="32"/>
          <w:bdr w:val="none" w:color="auto" w:sz="0" w:space="0"/>
          <w:lang w:val="en-US" w:eastAsia="zh-CN" w:bidi="ar"/>
        </w:rPr>
        <w:t>20</w:t>
      </w:r>
      <w:r>
        <w:rPr>
          <w:rFonts w:hint="eastAsia" w:ascii="仿宋_GB2312" w:hAnsi="Times New Roman" w:eastAsia="仿宋_GB2312" w:cs="仿宋_GB2312"/>
          <w:spacing w:val="40"/>
          <w:kern w:val="0"/>
          <w:sz w:val="32"/>
          <w:szCs w:val="32"/>
          <w:bdr w:val="none" w:color="auto" w:sz="0" w:space="0"/>
          <w:lang w:val="en-US" w:eastAsia="zh-CN" w:bidi="ar"/>
        </w:rPr>
        <w:t>日</w:t>
      </w:r>
    </w:p>
    <w:p w14:paraId="6EA84C19">
      <w:pPr>
        <w:pStyle w:val="2"/>
        <w:keepNext w:val="0"/>
        <w:keepLines w:val="0"/>
        <w:widowControl/>
        <w:suppressLineNumbers w:val="0"/>
        <w:spacing w:before="0" w:beforeAutospacing="0" w:after="0" w:afterAutospacing="0" w:line="560" w:lineRule="atLeast"/>
        <w:ind w:left="0" w:right="0" w:firstLine="420"/>
        <w:jc w:val="both"/>
        <w:rPr>
          <w:rFonts w:hint="default" w:ascii="Times New Roman" w:hAnsi="Times New Roman" w:cs="Times New Roman"/>
          <w:sz w:val="21"/>
          <w:szCs w:val="21"/>
        </w:rPr>
      </w:pPr>
      <w:r>
        <w:rPr>
          <w:rFonts w:hint="eastAsia" w:ascii="仿宋_GB2312" w:hAnsi="Times New Roman" w:eastAsia="仿宋_GB2312" w:cs="仿宋_GB2312"/>
          <w:spacing w:val="0"/>
          <w:sz w:val="32"/>
          <w:szCs w:val="32"/>
        </w:rPr>
        <w:t>（此件主动公开）</w:t>
      </w:r>
    </w:p>
    <w:p w14:paraId="4E795433">
      <w:pPr>
        <w:pStyle w:val="2"/>
        <w:keepNext w:val="0"/>
        <w:keepLines w:val="0"/>
        <w:widowControl/>
        <w:suppressLineNumbers w:val="0"/>
      </w:pPr>
    </w:p>
    <w:p w14:paraId="38AE6880">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方正小标宋简体" w:hAnsi="方正小标宋简体" w:eastAsia="方正小标宋简体" w:cs="方正小标宋简体"/>
          <w:kern w:val="0"/>
          <w:sz w:val="44"/>
          <w:szCs w:val="44"/>
          <w:lang w:val="en-US" w:eastAsia="zh-CN" w:bidi="ar"/>
        </w:rPr>
        <w:t>赣州市支持文旅产业发展若干措施</w:t>
      </w:r>
    </w:p>
    <w:p w14:paraId="4A6B4424">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ascii="仿宋" w:hAnsi="仿宋" w:eastAsia="仿宋" w:cs="仿宋"/>
          <w:kern w:val="0"/>
          <w:sz w:val="32"/>
          <w:szCs w:val="32"/>
          <w:lang w:val="en-US" w:eastAsia="zh-CN" w:bidi="ar"/>
        </w:rPr>
        <w:t> </w:t>
      </w:r>
    </w:p>
    <w:p w14:paraId="6CA2D9C4">
      <w:pPr>
        <w:pStyle w:val="2"/>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sz w:val="32"/>
          <w:szCs w:val="32"/>
        </w:rPr>
        <w:t>为深入贯彻落实市委、市政府决策部署，不断增加优质旅游供给，持续优化旅游发展环境，着力提升赣州文旅产业核心竞争力，谋划打造一批富有文化底蕴的世界级旅游景区、度假区，建设一批文化特色鲜明的国家级旅游休闲城市、街区，实现打造全国红色旅游目的地、粤港澳大湾区生态康养旅游后花园、区域性文化旅游中心的目标，结合我市实际，制定如下措施。</w:t>
      </w:r>
    </w:p>
    <w:p w14:paraId="2A998239">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ascii="黑体" w:hAnsi="宋体" w:eastAsia="黑体" w:cs="黑体"/>
          <w:kern w:val="0"/>
          <w:sz w:val="32"/>
          <w:szCs w:val="32"/>
          <w:lang w:val="en-US" w:eastAsia="zh-CN" w:bidi="ar"/>
        </w:rPr>
        <w:t>一、支持旅游品牌创建</w:t>
      </w:r>
    </w:p>
    <w:p w14:paraId="6E441850">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第一条  对新获评的国家</w:t>
      </w:r>
      <w:r>
        <w:rPr>
          <w:rFonts w:hint="eastAsia" w:ascii="宋体" w:hAnsi="宋体" w:eastAsia="宋体" w:cs="宋体"/>
          <w:kern w:val="0"/>
          <w:sz w:val="32"/>
          <w:szCs w:val="32"/>
          <w:lang w:val="en-US" w:eastAsia="zh-CN" w:bidi="ar"/>
        </w:rPr>
        <w:t>5A</w:t>
      </w:r>
      <w:r>
        <w:rPr>
          <w:rFonts w:hint="eastAsia" w:ascii="仿宋_GB2312" w:hAnsi="Times New Roman" w:eastAsia="仿宋_GB2312" w:cs="仿宋_GB2312"/>
          <w:kern w:val="0"/>
          <w:sz w:val="32"/>
          <w:szCs w:val="32"/>
          <w:lang w:val="en-US" w:eastAsia="zh-CN" w:bidi="ar"/>
        </w:rPr>
        <w:t>、</w:t>
      </w:r>
      <w:r>
        <w:rPr>
          <w:rFonts w:hint="eastAsia" w:ascii="宋体" w:hAnsi="宋体" w:eastAsia="宋体" w:cs="宋体"/>
          <w:kern w:val="0"/>
          <w:sz w:val="32"/>
          <w:szCs w:val="32"/>
          <w:lang w:val="en-US" w:eastAsia="zh-CN" w:bidi="ar"/>
        </w:rPr>
        <w:t>4A</w:t>
      </w:r>
      <w:r>
        <w:rPr>
          <w:rFonts w:hint="eastAsia" w:ascii="仿宋_GB2312" w:hAnsi="Times New Roman" w:eastAsia="仿宋_GB2312" w:cs="仿宋_GB2312"/>
          <w:kern w:val="0"/>
          <w:sz w:val="32"/>
          <w:szCs w:val="32"/>
          <w:lang w:val="en-US" w:eastAsia="zh-CN" w:bidi="ar"/>
        </w:rPr>
        <w:t>级旅游景区，分别给予一次性奖励</w:t>
      </w:r>
      <w:r>
        <w:rPr>
          <w:rFonts w:hint="eastAsia" w:ascii="宋体" w:hAnsi="宋体" w:eastAsia="宋体" w:cs="宋体"/>
          <w:kern w:val="0"/>
          <w:sz w:val="32"/>
          <w:szCs w:val="32"/>
          <w:lang w:val="en-US" w:eastAsia="zh-CN" w:bidi="ar"/>
        </w:rPr>
        <w:t>300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60</w:t>
      </w:r>
      <w:r>
        <w:rPr>
          <w:rFonts w:hint="eastAsia" w:ascii="仿宋_GB2312" w:hAnsi="Times New Roman" w:eastAsia="仿宋_GB2312" w:cs="仿宋_GB2312"/>
          <w:kern w:val="0"/>
          <w:sz w:val="32"/>
          <w:szCs w:val="32"/>
          <w:lang w:val="en-US" w:eastAsia="zh-CN" w:bidi="ar"/>
        </w:rPr>
        <w:t>万元。</w:t>
      </w:r>
    </w:p>
    <w:p w14:paraId="1A39B0CF">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第二条  对新获评的国家级、省级旅游度假区，分别给予一次性奖励</w:t>
      </w:r>
      <w:r>
        <w:rPr>
          <w:rFonts w:hint="eastAsia" w:ascii="宋体" w:hAnsi="宋体" w:eastAsia="宋体" w:cs="宋体"/>
          <w:kern w:val="0"/>
          <w:sz w:val="32"/>
          <w:szCs w:val="32"/>
          <w:lang w:val="en-US" w:eastAsia="zh-CN" w:bidi="ar"/>
        </w:rPr>
        <w:t>200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50</w:t>
      </w:r>
      <w:r>
        <w:rPr>
          <w:rFonts w:hint="eastAsia" w:ascii="仿宋_GB2312" w:hAnsi="Times New Roman" w:eastAsia="仿宋_GB2312" w:cs="仿宋_GB2312"/>
          <w:kern w:val="0"/>
          <w:sz w:val="32"/>
          <w:szCs w:val="32"/>
          <w:lang w:val="en-US" w:eastAsia="zh-CN" w:bidi="ar"/>
        </w:rPr>
        <w:t>万元。</w:t>
      </w:r>
    </w:p>
    <w:p w14:paraId="6E84009B">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第三条  对新获评的国家级旅游休闲街区、国家级夜间文化和旅游消费集聚区，分别给予一次性奖励</w:t>
      </w:r>
      <w:r>
        <w:rPr>
          <w:rFonts w:hint="eastAsia" w:ascii="宋体" w:hAnsi="宋体" w:eastAsia="宋体" w:cs="宋体"/>
          <w:kern w:val="0"/>
          <w:sz w:val="32"/>
          <w:szCs w:val="32"/>
          <w:lang w:val="en-US" w:eastAsia="zh-CN" w:bidi="ar"/>
        </w:rPr>
        <w:t>40</w:t>
      </w:r>
      <w:r>
        <w:rPr>
          <w:rFonts w:hint="eastAsia" w:ascii="仿宋_GB2312" w:hAnsi="Times New Roman" w:eastAsia="仿宋_GB2312" w:cs="仿宋_GB2312"/>
          <w:kern w:val="0"/>
          <w:sz w:val="32"/>
          <w:szCs w:val="32"/>
          <w:lang w:val="en-US" w:eastAsia="zh-CN" w:bidi="ar"/>
        </w:rPr>
        <w:t>万元。</w:t>
      </w:r>
    </w:p>
    <w:p w14:paraId="44090293">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黑体" w:hAnsi="宋体" w:eastAsia="黑体" w:cs="黑体"/>
          <w:kern w:val="0"/>
          <w:sz w:val="32"/>
          <w:szCs w:val="32"/>
          <w:lang w:val="en-US" w:eastAsia="zh-CN" w:bidi="ar"/>
        </w:rPr>
        <w:t>二、支持旅游要素配套建设</w:t>
      </w:r>
    </w:p>
    <w:p w14:paraId="1E2FCFE5">
      <w:pPr>
        <w:pStyle w:val="2"/>
        <w:keepNext w:val="0"/>
        <w:keepLines w:val="0"/>
        <w:widowControl/>
        <w:suppressLineNumbers w:val="0"/>
        <w:spacing w:before="0" w:beforeAutospacing="1" w:after="0" w:afterAutospacing="0" w:line="560" w:lineRule="atLeast"/>
        <w:ind w:left="0" w:right="0" w:firstLine="618"/>
      </w:pPr>
      <w:r>
        <w:rPr>
          <w:rFonts w:hint="eastAsia" w:ascii="仿宋_GB2312" w:eastAsia="仿宋_GB2312" w:cs="仿宋_GB2312"/>
          <w:sz w:val="32"/>
          <w:szCs w:val="32"/>
        </w:rPr>
        <w:t>第四条  对新获评的五星级、四星级旅游饭店，分别给予一次性奖励</w:t>
      </w:r>
      <w:r>
        <w:rPr>
          <w:rFonts w:hint="eastAsia" w:ascii="宋体" w:hAnsi="宋体" w:eastAsia="宋体" w:cs="宋体"/>
          <w:sz w:val="32"/>
          <w:szCs w:val="32"/>
        </w:rPr>
        <w:t>60</w:t>
      </w:r>
      <w:r>
        <w:rPr>
          <w:rFonts w:hint="eastAsia" w:ascii="仿宋_GB2312" w:eastAsia="仿宋_GB2312" w:cs="仿宋_GB2312"/>
          <w:sz w:val="32"/>
          <w:szCs w:val="32"/>
        </w:rPr>
        <w:t>万元、</w:t>
      </w:r>
      <w:r>
        <w:rPr>
          <w:rFonts w:hint="eastAsia" w:ascii="宋体" w:hAnsi="宋体" w:eastAsia="宋体" w:cs="宋体"/>
          <w:sz w:val="32"/>
          <w:szCs w:val="32"/>
        </w:rPr>
        <w:t>30</w:t>
      </w:r>
      <w:r>
        <w:rPr>
          <w:rFonts w:hint="eastAsia" w:ascii="仿宋_GB2312" w:eastAsia="仿宋_GB2312" w:cs="仿宋_GB2312"/>
          <w:sz w:val="32"/>
          <w:szCs w:val="32"/>
        </w:rPr>
        <w:t>万元。</w:t>
      </w:r>
    </w:p>
    <w:p w14:paraId="7A3A3338">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第五条  对新获评的甲级、乙级、丙级旅游民宿，分别给予一次性奖励</w:t>
      </w:r>
      <w:r>
        <w:rPr>
          <w:rFonts w:hint="eastAsia" w:ascii="宋体" w:hAnsi="宋体" w:eastAsia="宋体" w:cs="宋体"/>
          <w:kern w:val="0"/>
          <w:sz w:val="32"/>
          <w:szCs w:val="32"/>
          <w:lang w:val="en-US" w:eastAsia="zh-CN" w:bidi="ar"/>
        </w:rPr>
        <w:t>20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10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5</w:t>
      </w:r>
      <w:r>
        <w:rPr>
          <w:rFonts w:hint="eastAsia" w:ascii="仿宋_GB2312" w:hAnsi="Times New Roman" w:eastAsia="仿宋_GB2312" w:cs="仿宋_GB2312"/>
          <w:kern w:val="0"/>
          <w:sz w:val="32"/>
          <w:szCs w:val="32"/>
          <w:lang w:val="en-US" w:eastAsia="zh-CN" w:bidi="ar"/>
        </w:rPr>
        <w:t>万元。</w:t>
      </w:r>
    </w:p>
    <w:p w14:paraId="0C99AB2B">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第六条  对新获评的五星级、四星级旅行社，分别给予一次性奖励</w:t>
      </w:r>
      <w:r>
        <w:rPr>
          <w:rFonts w:hint="eastAsia" w:ascii="宋体" w:hAnsi="宋体" w:eastAsia="宋体" w:cs="宋体"/>
          <w:kern w:val="0"/>
          <w:sz w:val="32"/>
          <w:szCs w:val="32"/>
          <w:lang w:val="en-US" w:eastAsia="zh-CN" w:bidi="ar"/>
        </w:rPr>
        <w:t>20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8</w:t>
      </w:r>
      <w:r>
        <w:rPr>
          <w:rFonts w:hint="eastAsia" w:ascii="仿宋_GB2312" w:hAnsi="Times New Roman" w:eastAsia="仿宋_GB2312" w:cs="仿宋_GB2312"/>
          <w:kern w:val="0"/>
          <w:sz w:val="32"/>
          <w:szCs w:val="32"/>
          <w:lang w:val="en-US" w:eastAsia="zh-CN" w:bidi="ar"/>
        </w:rPr>
        <w:t>万元。</w:t>
      </w:r>
    </w:p>
    <w:p w14:paraId="4D251964">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第七条  对新获评的五星级、四星级、三星级民宿集聚区，分别给予一次性奖励</w:t>
      </w:r>
      <w:r>
        <w:rPr>
          <w:rFonts w:hint="eastAsia" w:ascii="宋体" w:hAnsi="宋体" w:eastAsia="宋体" w:cs="宋体"/>
          <w:kern w:val="0"/>
          <w:sz w:val="32"/>
          <w:szCs w:val="32"/>
          <w:lang w:val="en-US" w:eastAsia="zh-CN" w:bidi="ar"/>
        </w:rPr>
        <w:t>100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60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40</w:t>
      </w:r>
      <w:r>
        <w:rPr>
          <w:rFonts w:hint="eastAsia" w:ascii="仿宋_GB2312" w:hAnsi="Times New Roman" w:eastAsia="仿宋_GB2312" w:cs="仿宋_GB2312"/>
          <w:kern w:val="0"/>
          <w:sz w:val="32"/>
          <w:szCs w:val="32"/>
          <w:lang w:val="en-US" w:eastAsia="zh-CN" w:bidi="ar"/>
        </w:rPr>
        <w:t>万元。</w:t>
      </w:r>
    </w:p>
    <w:p w14:paraId="09C78ACB">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黑体" w:hAnsi="宋体" w:eastAsia="黑体" w:cs="黑体"/>
          <w:kern w:val="0"/>
          <w:sz w:val="32"/>
          <w:szCs w:val="32"/>
          <w:lang w:val="en-US" w:eastAsia="zh-CN" w:bidi="ar"/>
        </w:rPr>
        <w:t>三、支持文化创意产品开发</w:t>
      </w:r>
    </w:p>
    <w:p w14:paraId="1FB30B7A">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第八条  对在中国旅游商品大赛、中国特色旅游商品大赛等国家级赛事中新获评金奖、银奖、铜奖的商品生产企业，每个奖项分别给予一次性奖励</w:t>
      </w:r>
      <w:r>
        <w:rPr>
          <w:rFonts w:hint="eastAsia" w:ascii="宋体" w:hAnsi="宋体" w:eastAsia="宋体" w:cs="宋体"/>
          <w:kern w:val="0"/>
          <w:sz w:val="32"/>
          <w:szCs w:val="32"/>
          <w:lang w:val="en-US" w:eastAsia="zh-CN" w:bidi="ar"/>
        </w:rPr>
        <w:t>10</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8</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5</w:t>
      </w:r>
      <w:r>
        <w:rPr>
          <w:rFonts w:hint="eastAsia" w:ascii="仿宋_GB2312" w:hAnsi="Times New Roman" w:eastAsia="仿宋_GB2312" w:cs="仿宋_GB2312"/>
          <w:kern w:val="0"/>
          <w:sz w:val="32"/>
          <w:szCs w:val="32"/>
          <w:lang w:val="en-US" w:eastAsia="zh-CN" w:bidi="ar"/>
        </w:rPr>
        <w:t>万元。</w:t>
      </w:r>
    </w:p>
    <w:p w14:paraId="7D5CA27E">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黑体" w:hAnsi="宋体" w:eastAsia="黑体" w:cs="黑体"/>
          <w:kern w:val="0"/>
          <w:sz w:val="32"/>
          <w:szCs w:val="32"/>
          <w:lang w:val="en-US" w:eastAsia="zh-CN" w:bidi="ar"/>
        </w:rPr>
        <w:t>四、支持旅游服务提升</w:t>
      </w:r>
    </w:p>
    <w:p w14:paraId="65D452E4">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第九条  对参与国家级旅游行业（景区、饭店、旅行社等）技能大赛的优秀选手，给予一次性奖励</w:t>
      </w:r>
      <w:r>
        <w:rPr>
          <w:rFonts w:hint="eastAsia" w:ascii="宋体" w:hAnsi="宋体" w:eastAsia="宋体" w:cs="宋体"/>
          <w:kern w:val="0"/>
          <w:sz w:val="32"/>
          <w:szCs w:val="32"/>
          <w:lang w:val="en-US" w:eastAsia="zh-CN" w:bidi="ar"/>
        </w:rPr>
        <w:t>1</w:t>
      </w:r>
      <w:r>
        <w:rPr>
          <w:rFonts w:hint="eastAsia" w:ascii="仿宋_GB2312" w:hAnsi="Times New Roman" w:eastAsia="仿宋_GB2312" w:cs="仿宋_GB2312"/>
          <w:kern w:val="0"/>
          <w:sz w:val="32"/>
          <w:szCs w:val="32"/>
          <w:lang w:val="en-US" w:eastAsia="zh-CN" w:bidi="ar"/>
        </w:rPr>
        <w:t>万元；对获评省级一等奖、二等奖、三等奖的获奖选手，分别给予一次性奖励</w:t>
      </w:r>
      <w:r>
        <w:rPr>
          <w:rFonts w:hint="eastAsia" w:ascii="宋体" w:hAnsi="宋体" w:eastAsia="宋体" w:cs="宋体"/>
          <w:kern w:val="0"/>
          <w:sz w:val="32"/>
          <w:szCs w:val="32"/>
          <w:lang w:val="en-US" w:eastAsia="zh-CN" w:bidi="ar"/>
        </w:rPr>
        <w:t>0.5</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0.4</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0.3</w:t>
      </w:r>
      <w:r>
        <w:rPr>
          <w:rFonts w:hint="eastAsia" w:ascii="仿宋_GB2312" w:hAnsi="Times New Roman" w:eastAsia="仿宋_GB2312" w:cs="仿宋_GB2312"/>
          <w:kern w:val="0"/>
          <w:sz w:val="32"/>
          <w:szCs w:val="32"/>
          <w:lang w:val="en-US" w:eastAsia="zh-CN" w:bidi="ar"/>
        </w:rPr>
        <w:t>万元。</w:t>
      </w:r>
    </w:p>
    <w:p w14:paraId="1B39CCBC">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第十条  对在我市从事导游职业并新考取高级导游员、中级导游员称号的导游员，分别给予一次性奖励</w:t>
      </w:r>
      <w:r>
        <w:rPr>
          <w:rFonts w:hint="eastAsia" w:ascii="宋体" w:hAnsi="宋体" w:eastAsia="宋体" w:cs="宋体"/>
          <w:kern w:val="0"/>
          <w:sz w:val="32"/>
          <w:szCs w:val="32"/>
          <w:lang w:val="en-US" w:eastAsia="zh-CN" w:bidi="ar"/>
        </w:rPr>
        <w:t>1</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0.5</w:t>
      </w:r>
      <w:r>
        <w:rPr>
          <w:rFonts w:hint="eastAsia" w:ascii="仿宋_GB2312" w:hAnsi="Times New Roman" w:eastAsia="仿宋_GB2312" w:cs="仿宋_GB2312"/>
          <w:kern w:val="0"/>
          <w:sz w:val="32"/>
          <w:szCs w:val="32"/>
          <w:lang w:val="en-US" w:eastAsia="zh-CN" w:bidi="ar"/>
        </w:rPr>
        <w:t>万元。</w:t>
      </w:r>
    </w:p>
    <w:p w14:paraId="7B00F2D4">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第十一条  对新获评的五星级、四星级导游员，分别给予一次性奖励</w:t>
      </w:r>
      <w:r>
        <w:rPr>
          <w:rFonts w:hint="eastAsia" w:ascii="宋体" w:hAnsi="宋体" w:eastAsia="宋体" w:cs="宋体"/>
          <w:kern w:val="0"/>
          <w:sz w:val="32"/>
          <w:szCs w:val="32"/>
          <w:lang w:val="en-US" w:eastAsia="zh-CN" w:bidi="ar"/>
        </w:rPr>
        <w:t>0.5</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0.4</w:t>
      </w:r>
      <w:r>
        <w:rPr>
          <w:rFonts w:hint="eastAsia" w:ascii="仿宋_GB2312" w:hAnsi="Times New Roman" w:eastAsia="仿宋_GB2312" w:cs="仿宋_GB2312"/>
          <w:kern w:val="0"/>
          <w:sz w:val="32"/>
          <w:szCs w:val="32"/>
          <w:lang w:val="en-US" w:eastAsia="zh-CN" w:bidi="ar"/>
        </w:rPr>
        <w:t>万元。</w:t>
      </w:r>
    </w:p>
    <w:p w14:paraId="4AA67C6F">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第十二条  对新获评的国家级、省级金牌导游员（讲解员）分别给予一次性奖励</w:t>
      </w:r>
      <w:r>
        <w:rPr>
          <w:rFonts w:hint="eastAsia" w:ascii="宋体" w:hAnsi="宋体" w:eastAsia="宋体" w:cs="宋体"/>
          <w:kern w:val="0"/>
          <w:sz w:val="32"/>
          <w:szCs w:val="32"/>
          <w:lang w:val="en-US" w:eastAsia="zh-CN" w:bidi="ar"/>
        </w:rPr>
        <w:t>1</w:t>
      </w:r>
      <w:r>
        <w:rPr>
          <w:rFonts w:hint="eastAsia" w:ascii="仿宋_GB2312" w:hAnsi="Times New Roman" w:eastAsia="仿宋_GB2312" w:cs="仿宋_GB2312"/>
          <w:kern w:val="0"/>
          <w:sz w:val="32"/>
          <w:szCs w:val="32"/>
          <w:lang w:val="en-US" w:eastAsia="zh-CN" w:bidi="ar"/>
        </w:rPr>
        <w:t>万元、</w:t>
      </w:r>
      <w:r>
        <w:rPr>
          <w:rFonts w:hint="eastAsia" w:ascii="宋体" w:hAnsi="宋体" w:eastAsia="宋体" w:cs="宋体"/>
          <w:kern w:val="0"/>
          <w:sz w:val="32"/>
          <w:szCs w:val="32"/>
          <w:lang w:val="en-US" w:eastAsia="zh-CN" w:bidi="ar"/>
        </w:rPr>
        <w:t>0.8</w:t>
      </w:r>
      <w:r>
        <w:rPr>
          <w:rFonts w:hint="eastAsia" w:ascii="仿宋_GB2312" w:hAnsi="Times New Roman" w:eastAsia="仿宋_GB2312" w:cs="仿宋_GB2312"/>
          <w:kern w:val="0"/>
          <w:sz w:val="32"/>
          <w:szCs w:val="32"/>
          <w:lang w:val="en-US" w:eastAsia="zh-CN" w:bidi="ar"/>
        </w:rPr>
        <w:t>万元。</w:t>
      </w:r>
    </w:p>
    <w:p w14:paraId="61471218">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黑体" w:hAnsi="宋体" w:eastAsia="黑体" w:cs="黑体"/>
          <w:kern w:val="0"/>
          <w:sz w:val="32"/>
          <w:szCs w:val="32"/>
          <w:lang w:val="en-US" w:eastAsia="zh-CN" w:bidi="ar"/>
        </w:rPr>
        <w:t>五、支持演艺经济发展</w:t>
      </w:r>
    </w:p>
    <w:p w14:paraId="051D5DDA">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第十三条  对赣州市章贡区、赣州经开区、蓉江新区、赣县区、南康区内举办的演唱会、音乐节：</w:t>
      </w:r>
    </w:p>
    <w:p w14:paraId="1A6160C4">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单场售票规模</w:t>
      </w:r>
      <w:r>
        <w:rPr>
          <w:rFonts w:hint="eastAsia" w:ascii="宋体" w:hAnsi="宋体" w:eastAsia="宋体" w:cs="宋体"/>
          <w:kern w:val="0"/>
          <w:sz w:val="32"/>
          <w:szCs w:val="32"/>
          <w:lang w:val="en-US" w:eastAsia="zh-CN" w:bidi="ar"/>
        </w:rPr>
        <w:t>3</w:t>
      </w:r>
      <w:r>
        <w:rPr>
          <w:rFonts w:hint="eastAsia" w:ascii="仿宋_GB2312" w:hAnsi="Times New Roman" w:eastAsia="仿宋_GB2312" w:cs="仿宋_GB2312"/>
          <w:kern w:val="0"/>
          <w:sz w:val="32"/>
          <w:szCs w:val="32"/>
          <w:lang w:val="en-US" w:eastAsia="zh-CN" w:bidi="ar"/>
        </w:rPr>
        <w:t>万人次以上且售票收入不低于</w:t>
      </w:r>
      <w:r>
        <w:rPr>
          <w:rFonts w:hint="eastAsia" w:ascii="宋体" w:hAnsi="宋体" w:eastAsia="宋体" w:cs="宋体"/>
          <w:kern w:val="0"/>
          <w:sz w:val="32"/>
          <w:szCs w:val="32"/>
          <w:lang w:val="en-US" w:eastAsia="zh-CN" w:bidi="ar"/>
        </w:rPr>
        <w:t>1500</w:t>
      </w:r>
      <w:r>
        <w:rPr>
          <w:rFonts w:hint="eastAsia" w:ascii="仿宋_GB2312" w:hAnsi="Times New Roman" w:eastAsia="仿宋_GB2312" w:cs="仿宋_GB2312"/>
          <w:kern w:val="0"/>
          <w:sz w:val="32"/>
          <w:szCs w:val="32"/>
          <w:lang w:val="en-US" w:eastAsia="zh-CN" w:bidi="ar"/>
        </w:rPr>
        <w:t>万元的，赣州市以外跨城观众比例超过</w:t>
      </w:r>
      <w:r>
        <w:rPr>
          <w:rFonts w:hint="eastAsia" w:ascii="宋体" w:hAnsi="宋体" w:eastAsia="宋体" w:cs="宋体"/>
          <w:kern w:val="0"/>
          <w:sz w:val="32"/>
          <w:szCs w:val="32"/>
          <w:lang w:val="en-US" w:eastAsia="zh-CN" w:bidi="ar"/>
        </w:rPr>
        <w:t>50%</w:t>
      </w:r>
      <w:r>
        <w:rPr>
          <w:rFonts w:hint="eastAsia" w:ascii="仿宋_GB2312" w:hAnsi="Times New Roman" w:eastAsia="仿宋_GB2312" w:cs="仿宋_GB2312"/>
          <w:kern w:val="0"/>
          <w:sz w:val="32"/>
          <w:szCs w:val="32"/>
          <w:lang w:val="en-US" w:eastAsia="zh-CN" w:bidi="ar"/>
        </w:rPr>
        <w:t>，单场奖励</w:t>
      </w:r>
      <w:r>
        <w:rPr>
          <w:rFonts w:hint="eastAsia" w:ascii="宋体" w:hAnsi="宋体" w:eastAsia="宋体" w:cs="宋体"/>
          <w:kern w:val="0"/>
          <w:sz w:val="32"/>
          <w:szCs w:val="32"/>
          <w:lang w:val="en-US" w:eastAsia="zh-CN" w:bidi="ar"/>
        </w:rPr>
        <w:t>80</w:t>
      </w:r>
      <w:r>
        <w:rPr>
          <w:rFonts w:hint="eastAsia" w:ascii="仿宋_GB2312" w:hAnsi="Times New Roman" w:eastAsia="仿宋_GB2312" w:cs="仿宋_GB2312"/>
          <w:kern w:val="0"/>
          <w:sz w:val="32"/>
          <w:szCs w:val="32"/>
          <w:lang w:val="en-US" w:eastAsia="zh-CN" w:bidi="ar"/>
        </w:rPr>
        <w:t>万元；</w:t>
      </w:r>
    </w:p>
    <w:p w14:paraId="692FA707">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单场售票规模</w:t>
      </w:r>
      <w:r>
        <w:rPr>
          <w:rFonts w:hint="eastAsia" w:ascii="宋体" w:hAnsi="宋体" w:eastAsia="宋体" w:cs="宋体"/>
          <w:kern w:val="0"/>
          <w:sz w:val="32"/>
          <w:szCs w:val="32"/>
          <w:lang w:val="en-US" w:eastAsia="zh-CN" w:bidi="ar"/>
        </w:rPr>
        <w:t>2</w:t>
      </w:r>
      <w:r>
        <w:rPr>
          <w:rFonts w:hint="eastAsia" w:ascii="仿宋_GB2312" w:hAnsi="Times New Roman" w:eastAsia="仿宋_GB2312" w:cs="仿宋_GB2312"/>
          <w:kern w:val="0"/>
          <w:sz w:val="32"/>
          <w:szCs w:val="32"/>
          <w:lang w:val="en-US" w:eastAsia="zh-CN" w:bidi="ar"/>
        </w:rPr>
        <w:t>万人次以上且售票收入不低于</w:t>
      </w:r>
      <w:r>
        <w:rPr>
          <w:rFonts w:hint="eastAsia" w:ascii="宋体" w:hAnsi="宋体" w:eastAsia="宋体" w:cs="宋体"/>
          <w:kern w:val="0"/>
          <w:sz w:val="32"/>
          <w:szCs w:val="32"/>
          <w:lang w:val="en-US" w:eastAsia="zh-CN" w:bidi="ar"/>
        </w:rPr>
        <w:t>1000</w:t>
      </w:r>
      <w:r>
        <w:rPr>
          <w:rFonts w:hint="eastAsia" w:ascii="仿宋_GB2312" w:hAnsi="Times New Roman" w:eastAsia="仿宋_GB2312" w:cs="仿宋_GB2312"/>
          <w:kern w:val="0"/>
          <w:sz w:val="32"/>
          <w:szCs w:val="32"/>
          <w:lang w:val="en-US" w:eastAsia="zh-CN" w:bidi="ar"/>
        </w:rPr>
        <w:t>万元的，赣州市以外跨城观众比例超过</w:t>
      </w:r>
      <w:r>
        <w:rPr>
          <w:rFonts w:hint="eastAsia" w:ascii="宋体" w:hAnsi="宋体" w:eastAsia="宋体" w:cs="宋体"/>
          <w:kern w:val="0"/>
          <w:sz w:val="32"/>
          <w:szCs w:val="32"/>
          <w:lang w:val="en-US" w:eastAsia="zh-CN" w:bidi="ar"/>
        </w:rPr>
        <w:t>40%</w:t>
      </w:r>
      <w:r>
        <w:rPr>
          <w:rFonts w:hint="eastAsia" w:ascii="仿宋_GB2312" w:hAnsi="Times New Roman" w:eastAsia="仿宋_GB2312" w:cs="仿宋_GB2312"/>
          <w:kern w:val="0"/>
          <w:sz w:val="32"/>
          <w:szCs w:val="32"/>
          <w:lang w:val="en-US" w:eastAsia="zh-CN" w:bidi="ar"/>
        </w:rPr>
        <w:t>，单场奖励</w:t>
      </w:r>
      <w:r>
        <w:rPr>
          <w:rFonts w:hint="eastAsia" w:ascii="宋体" w:hAnsi="宋体" w:eastAsia="宋体" w:cs="宋体"/>
          <w:kern w:val="0"/>
          <w:sz w:val="32"/>
          <w:szCs w:val="32"/>
          <w:lang w:val="en-US" w:eastAsia="zh-CN" w:bidi="ar"/>
        </w:rPr>
        <w:t>50</w:t>
      </w:r>
      <w:r>
        <w:rPr>
          <w:rFonts w:hint="eastAsia" w:ascii="仿宋_GB2312" w:hAnsi="Times New Roman" w:eastAsia="仿宋_GB2312" w:cs="仿宋_GB2312"/>
          <w:kern w:val="0"/>
          <w:sz w:val="32"/>
          <w:szCs w:val="32"/>
          <w:lang w:val="en-US" w:eastAsia="zh-CN" w:bidi="ar"/>
        </w:rPr>
        <w:t>万元；</w:t>
      </w:r>
    </w:p>
    <w:p w14:paraId="6D61A753">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单场售票规模</w:t>
      </w:r>
      <w:r>
        <w:rPr>
          <w:rFonts w:hint="eastAsia" w:ascii="宋体" w:hAnsi="宋体" w:eastAsia="宋体" w:cs="宋体"/>
          <w:kern w:val="0"/>
          <w:sz w:val="32"/>
          <w:szCs w:val="32"/>
          <w:lang w:val="en-US" w:eastAsia="zh-CN" w:bidi="ar"/>
        </w:rPr>
        <w:t>1</w:t>
      </w:r>
      <w:r>
        <w:rPr>
          <w:rFonts w:hint="eastAsia" w:ascii="仿宋_GB2312" w:hAnsi="Times New Roman" w:eastAsia="仿宋_GB2312" w:cs="仿宋_GB2312"/>
          <w:kern w:val="0"/>
          <w:sz w:val="32"/>
          <w:szCs w:val="32"/>
          <w:lang w:val="en-US" w:eastAsia="zh-CN" w:bidi="ar"/>
        </w:rPr>
        <w:t>万人次以上且售票收入不低于</w:t>
      </w:r>
      <w:r>
        <w:rPr>
          <w:rFonts w:hint="eastAsia" w:ascii="宋体" w:hAnsi="宋体" w:eastAsia="宋体" w:cs="宋体"/>
          <w:kern w:val="0"/>
          <w:sz w:val="32"/>
          <w:szCs w:val="32"/>
          <w:lang w:val="en-US" w:eastAsia="zh-CN" w:bidi="ar"/>
        </w:rPr>
        <w:t>500</w:t>
      </w:r>
      <w:r>
        <w:rPr>
          <w:rFonts w:hint="eastAsia" w:ascii="仿宋_GB2312" w:hAnsi="Times New Roman" w:eastAsia="仿宋_GB2312" w:cs="仿宋_GB2312"/>
          <w:kern w:val="0"/>
          <w:sz w:val="32"/>
          <w:szCs w:val="32"/>
          <w:lang w:val="en-US" w:eastAsia="zh-CN" w:bidi="ar"/>
        </w:rPr>
        <w:t>万元的，赣州市以外跨城观众比例超过</w:t>
      </w:r>
      <w:r>
        <w:rPr>
          <w:rFonts w:hint="eastAsia" w:ascii="宋体" w:hAnsi="宋体" w:eastAsia="宋体" w:cs="宋体"/>
          <w:kern w:val="0"/>
          <w:sz w:val="32"/>
          <w:szCs w:val="32"/>
          <w:lang w:val="en-US" w:eastAsia="zh-CN" w:bidi="ar"/>
        </w:rPr>
        <w:t>30%</w:t>
      </w:r>
      <w:r>
        <w:rPr>
          <w:rFonts w:hint="eastAsia" w:ascii="仿宋_GB2312" w:hAnsi="Times New Roman" w:eastAsia="仿宋_GB2312" w:cs="仿宋_GB2312"/>
          <w:kern w:val="0"/>
          <w:sz w:val="32"/>
          <w:szCs w:val="32"/>
          <w:lang w:val="en-US" w:eastAsia="zh-CN" w:bidi="ar"/>
        </w:rPr>
        <w:t>，单场奖励</w:t>
      </w:r>
      <w:r>
        <w:rPr>
          <w:rFonts w:hint="eastAsia" w:ascii="宋体" w:hAnsi="宋体" w:eastAsia="宋体" w:cs="宋体"/>
          <w:kern w:val="0"/>
          <w:sz w:val="32"/>
          <w:szCs w:val="32"/>
          <w:lang w:val="en-US" w:eastAsia="zh-CN" w:bidi="ar"/>
        </w:rPr>
        <w:t>30</w:t>
      </w:r>
      <w:r>
        <w:rPr>
          <w:rFonts w:hint="eastAsia" w:ascii="仿宋_GB2312" w:hAnsi="Times New Roman" w:eastAsia="仿宋_GB2312" w:cs="仿宋_GB2312"/>
          <w:kern w:val="0"/>
          <w:sz w:val="32"/>
          <w:szCs w:val="32"/>
          <w:lang w:val="en-US" w:eastAsia="zh-CN" w:bidi="ar"/>
        </w:rPr>
        <w:t>万元。</w:t>
      </w:r>
    </w:p>
    <w:p w14:paraId="3934CCED">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以上奖励以“就高不重复”原则进行一次性奖励，每年从文旅产业发展专项资金中安排一定的资金用于支持演艺经济发展，根据活动举办先后时间奖完即止。</w:t>
      </w:r>
    </w:p>
    <w:p w14:paraId="177664DB">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第十四条  对经公安机关核定座位数</w:t>
      </w:r>
      <w:r>
        <w:rPr>
          <w:rFonts w:hint="eastAsia" w:ascii="宋体" w:hAnsi="宋体" w:eastAsia="宋体" w:cs="宋体"/>
          <w:kern w:val="0"/>
          <w:sz w:val="32"/>
          <w:szCs w:val="32"/>
          <w:lang w:val="en-US" w:eastAsia="zh-CN" w:bidi="ar"/>
        </w:rPr>
        <w:t>1</w:t>
      </w:r>
      <w:r>
        <w:rPr>
          <w:rFonts w:hint="eastAsia" w:ascii="仿宋_GB2312" w:hAnsi="Times New Roman" w:eastAsia="仿宋_GB2312" w:cs="仿宋_GB2312"/>
          <w:kern w:val="0"/>
          <w:sz w:val="32"/>
          <w:szCs w:val="32"/>
          <w:lang w:val="en-US" w:eastAsia="zh-CN" w:bidi="ar"/>
        </w:rPr>
        <w:t>万座以上的演唱会，在举办当日至后</w:t>
      </w:r>
      <w:r>
        <w:rPr>
          <w:rFonts w:hint="eastAsia" w:ascii="宋体" w:hAnsi="宋体" w:eastAsia="宋体" w:cs="宋体"/>
          <w:kern w:val="0"/>
          <w:sz w:val="32"/>
          <w:szCs w:val="32"/>
          <w:lang w:val="en-US" w:eastAsia="zh-CN" w:bidi="ar"/>
        </w:rPr>
        <w:t>2</w:t>
      </w:r>
      <w:r>
        <w:rPr>
          <w:rFonts w:hint="eastAsia" w:ascii="仿宋_GB2312" w:hAnsi="Times New Roman" w:eastAsia="仿宋_GB2312" w:cs="仿宋_GB2312"/>
          <w:kern w:val="0"/>
          <w:sz w:val="32"/>
          <w:szCs w:val="32"/>
          <w:lang w:val="en-US" w:eastAsia="zh-CN" w:bidi="ar"/>
        </w:rPr>
        <w:t>天期间，组织全市国有景区在批准价格基础上开展门票半价优惠活动。</w:t>
      </w:r>
    </w:p>
    <w:p w14:paraId="0C20335D">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黑体" w:hAnsi="宋体" w:eastAsia="黑体" w:cs="黑体"/>
          <w:kern w:val="0"/>
          <w:sz w:val="32"/>
          <w:szCs w:val="32"/>
          <w:lang w:val="en-US" w:eastAsia="zh-CN" w:bidi="ar"/>
        </w:rPr>
        <w:t>六、其他</w:t>
      </w:r>
    </w:p>
    <w:p w14:paraId="399184E5">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（一）本措施适用于在赣州市内开展经营活动的文旅企业。</w:t>
      </w:r>
    </w:p>
    <w:p w14:paraId="44CDF81F">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（二）本措施中市级扶持奖励资金由市本级财政统筹解决。</w:t>
      </w:r>
    </w:p>
    <w:p w14:paraId="761D756F">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仿宋_GB2312" w:hAnsi="Times New Roman" w:eastAsia="仿宋_GB2312" w:cs="仿宋_GB2312"/>
          <w:kern w:val="0"/>
          <w:sz w:val="32"/>
          <w:szCs w:val="32"/>
          <w:lang w:val="en-US" w:eastAsia="zh-CN" w:bidi="ar"/>
        </w:rPr>
        <w:t>（三）</w:t>
      </w:r>
      <w:r>
        <w:rPr>
          <w:rFonts w:hint="eastAsia" w:ascii="仿宋_GB2312" w:hAnsi="宋体" w:eastAsia="仿宋_GB2312" w:cs="仿宋_GB2312"/>
          <w:kern w:val="0"/>
          <w:sz w:val="32"/>
          <w:szCs w:val="32"/>
          <w:lang w:val="en-US" w:eastAsia="zh-CN" w:bidi="ar"/>
        </w:rPr>
        <w:t>资金奖励按照发布通知、企业申报、审核公示、政府审定、资金拨付的流程组织实施</w:t>
      </w:r>
      <w:r>
        <w:rPr>
          <w:rFonts w:hint="eastAsia" w:ascii="仿宋_GB2312" w:hAnsi="Times New Roman" w:eastAsia="仿宋_GB2312" w:cs="仿宋_GB2312"/>
          <w:kern w:val="0"/>
          <w:sz w:val="32"/>
          <w:szCs w:val="32"/>
          <w:lang w:val="en-US" w:eastAsia="zh-CN" w:bidi="ar"/>
        </w:rPr>
        <w:t>：</w:t>
      </w:r>
    </w:p>
    <w:p w14:paraId="0AAA5C9C">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宋体" w:hAnsi="宋体" w:eastAsia="宋体" w:cs="宋体"/>
          <w:kern w:val="0"/>
          <w:sz w:val="32"/>
          <w:szCs w:val="32"/>
          <w:lang w:val="en-US" w:eastAsia="zh-CN" w:bidi="ar"/>
        </w:rPr>
        <w:t>1.</w:t>
      </w:r>
      <w:r>
        <w:rPr>
          <w:rFonts w:hint="eastAsia" w:ascii="仿宋_GB2312" w:hAnsi="宋体" w:eastAsia="仿宋_GB2312" w:cs="仿宋_GB2312"/>
          <w:kern w:val="0"/>
          <w:sz w:val="32"/>
          <w:szCs w:val="32"/>
          <w:lang w:val="en-US" w:eastAsia="zh-CN" w:bidi="ar"/>
        </w:rPr>
        <w:t>发布通知。市文广旅局起草并发布申报通知。</w:t>
      </w:r>
    </w:p>
    <w:p w14:paraId="1F9C9931">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宋体" w:hAnsi="宋体" w:eastAsia="宋体" w:cs="宋体"/>
          <w:kern w:val="0"/>
          <w:sz w:val="32"/>
          <w:szCs w:val="32"/>
          <w:lang w:val="en-US" w:eastAsia="zh-CN" w:bidi="ar"/>
        </w:rPr>
        <w:t>2.</w:t>
      </w:r>
      <w:r>
        <w:rPr>
          <w:rFonts w:hint="eastAsia" w:ascii="仿宋_GB2312" w:hAnsi="Times New Roman" w:eastAsia="仿宋_GB2312" w:cs="仿宋_GB2312"/>
          <w:kern w:val="0"/>
          <w:sz w:val="32"/>
          <w:szCs w:val="32"/>
          <w:lang w:val="en-US" w:eastAsia="zh-CN" w:bidi="ar"/>
        </w:rPr>
        <w:t>逐级</w:t>
      </w:r>
      <w:r>
        <w:rPr>
          <w:rFonts w:hint="eastAsia" w:ascii="仿宋_GB2312" w:hAnsi="宋体" w:eastAsia="仿宋_GB2312" w:cs="仿宋_GB2312"/>
          <w:kern w:val="0"/>
          <w:sz w:val="32"/>
          <w:szCs w:val="32"/>
          <w:lang w:val="en-US" w:eastAsia="zh-CN" w:bidi="ar"/>
        </w:rPr>
        <w:t>申报。相关企业或个人提供申报材料报送至所在县级文化旅游行政管理部门；县级文化旅游行政管理部门初审合格后汇总报市文广旅局。</w:t>
      </w:r>
    </w:p>
    <w:p w14:paraId="3F5EAE8A">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宋体" w:hAnsi="宋体" w:eastAsia="宋体" w:cs="宋体"/>
          <w:kern w:val="0"/>
          <w:sz w:val="32"/>
          <w:szCs w:val="32"/>
          <w:lang w:val="en-US" w:eastAsia="zh-CN" w:bidi="ar"/>
        </w:rPr>
        <w:t>3.</w:t>
      </w:r>
      <w:r>
        <w:rPr>
          <w:rFonts w:hint="eastAsia" w:ascii="仿宋_GB2312" w:hAnsi="宋体" w:eastAsia="仿宋_GB2312" w:cs="仿宋_GB2312"/>
          <w:kern w:val="0"/>
          <w:sz w:val="32"/>
          <w:szCs w:val="32"/>
          <w:lang w:val="en-US" w:eastAsia="zh-CN" w:bidi="ar"/>
        </w:rPr>
        <w:t>审核公示。市文广旅局对申报材料进行审核，对有失信、安全风险、政治性错误、负面舆情等行为的企业</w:t>
      </w:r>
      <w:r>
        <w:rPr>
          <w:rFonts w:hint="eastAsia" w:ascii="仿宋_GB2312" w:hAnsi="Times New Roman" w:eastAsia="仿宋_GB2312" w:cs="仿宋_GB2312"/>
          <w:kern w:val="0"/>
          <w:sz w:val="32"/>
          <w:szCs w:val="32"/>
          <w:lang w:val="en-US" w:eastAsia="zh-CN" w:bidi="ar"/>
        </w:rPr>
        <w:t>或个人</w:t>
      </w:r>
      <w:r>
        <w:rPr>
          <w:rFonts w:hint="eastAsia" w:ascii="仿宋_GB2312" w:hAnsi="宋体" w:eastAsia="仿宋_GB2312" w:cs="仿宋_GB2312"/>
          <w:kern w:val="0"/>
          <w:sz w:val="32"/>
          <w:szCs w:val="32"/>
          <w:lang w:val="en-US" w:eastAsia="zh-CN" w:bidi="ar"/>
        </w:rPr>
        <w:t>实行一票否决。核定奖励单位及金额后，将审核结果在市文广旅局官网公示，公示期不少于</w:t>
      </w:r>
      <w:r>
        <w:rPr>
          <w:rFonts w:hint="eastAsia" w:ascii="宋体" w:hAnsi="宋体" w:eastAsia="宋体" w:cs="宋体"/>
          <w:kern w:val="0"/>
          <w:sz w:val="32"/>
          <w:szCs w:val="32"/>
          <w:lang w:val="en-US" w:eastAsia="zh-CN" w:bidi="ar"/>
        </w:rPr>
        <w:t>5</w:t>
      </w:r>
      <w:r>
        <w:rPr>
          <w:rFonts w:hint="eastAsia" w:ascii="仿宋_GB2312" w:hAnsi="宋体" w:eastAsia="仿宋_GB2312" w:cs="仿宋_GB2312"/>
          <w:kern w:val="0"/>
          <w:sz w:val="32"/>
          <w:szCs w:val="32"/>
          <w:lang w:val="en-US" w:eastAsia="zh-CN" w:bidi="ar"/>
        </w:rPr>
        <w:t>个工作日。</w:t>
      </w:r>
    </w:p>
    <w:p w14:paraId="2D5BFD09">
      <w:pPr>
        <w:keepNext w:val="0"/>
        <w:keepLines w:val="0"/>
        <w:widowControl/>
        <w:suppressLineNumbers w:val="0"/>
        <w:spacing w:before="0" w:beforeAutospacing="0" w:after="0" w:afterAutospacing="0" w:line="560" w:lineRule="atLeast"/>
        <w:ind w:left="0" w:right="0" w:firstLine="618"/>
        <w:jc w:val="both"/>
        <w:rPr>
          <w:rFonts w:hint="default" w:ascii="Times New Roman" w:hAnsi="Times New Roman" w:cs="Times New Roman"/>
          <w:sz w:val="21"/>
          <w:szCs w:val="21"/>
        </w:rPr>
      </w:pPr>
      <w:r>
        <w:rPr>
          <w:rFonts w:hint="eastAsia" w:ascii="宋体" w:hAnsi="宋体" w:eastAsia="宋体" w:cs="宋体"/>
          <w:kern w:val="0"/>
          <w:sz w:val="32"/>
          <w:szCs w:val="32"/>
          <w:lang w:val="en-US" w:eastAsia="zh-CN" w:bidi="ar"/>
        </w:rPr>
        <w:t>4.</w:t>
      </w:r>
      <w:r>
        <w:rPr>
          <w:rFonts w:hint="eastAsia" w:ascii="仿宋_GB2312" w:hAnsi="宋体" w:eastAsia="仿宋_GB2312" w:cs="仿宋_GB2312"/>
          <w:kern w:val="0"/>
          <w:sz w:val="32"/>
          <w:szCs w:val="32"/>
          <w:lang w:val="en-US" w:eastAsia="zh-CN" w:bidi="ar"/>
        </w:rPr>
        <w:t>资金拨付。市文广旅局、市财政局联合审定后按照财政奖补资金拨付规定核发奖励资金。</w:t>
      </w:r>
    </w:p>
    <w:p w14:paraId="4C8BC7A1">
      <w:pPr>
        <w:pStyle w:val="2"/>
        <w:keepNext w:val="0"/>
        <w:keepLines w:val="0"/>
        <w:widowControl/>
        <w:suppressLineNumbers w:val="0"/>
        <w:spacing w:before="0" w:beforeAutospacing="1" w:after="0" w:afterAutospacing="0" w:line="560" w:lineRule="atLeast"/>
        <w:ind w:left="0" w:right="0" w:firstLine="618"/>
        <w:textAlignment w:val="baseline"/>
      </w:pPr>
      <w:r>
        <w:rPr>
          <w:rFonts w:hint="eastAsia" w:ascii="仿宋_GB2312" w:eastAsia="仿宋_GB2312" w:cs="仿宋_GB2312"/>
          <w:sz w:val="32"/>
          <w:szCs w:val="32"/>
          <w:vertAlign w:val="baseline"/>
        </w:rPr>
        <w:t>（四）本扶持措施自</w:t>
      </w:r>
      <w:r>
        <w:rPr>
          <w:rFonts w:hint="eastAsia" w:ascii="宋体" w:hAnsi="宋体" w:eastAsia="宋体" w:cs="宋体"/>
          <w:sz w:val="32"/>
          <w:szCs w:val="32"/>
          <w:vertAlign w:val="baseline"/>
        </w:rPr>
        <w:t>2025</w:t>
      </w:r>
      <w:r>
        <w:rPr>
          <w:rFonts w:hint="eastAsia" w:ascii="仿宋_GB2312" w:eastAsia="仿宋_GB2312" w:cs="仿宋_GB2312"/>
          <w:sz w:val="32"/>
          <w:szCs w:val="32"/>
          <w:vertAlign w:val="baseline"/>
        </w:rPr>
        <w:t>年</w:t>
      </w:r>
      <w:r>
        <w:rPr>
          <w:rFonts w:hint="eastAsia" w:ascii="宋体" w:hAnsi="宋体" w:eastAsia="宋体" w:cs="宋体"/>
          <w:sz w:val="32"/>
          <w:szCs w:val="32"/>
          <w:vertAlign w:val="baseline"/>
        </w:rPr>
        <w:t>3</w:t>
      </w:r>
      <w:r>
        <w:rPr>
          <w:rFonts w:hint="eastAsia" w:ascii="仿宋_GB2312" w:eastAsia="仿宋_GB2312" w:cs="仿宋_GB2312"/>
          <w:sz w:val="32"/>
          <w:szCs w:val="32"/>
          <w:vertAlign w:val="baseline"/>
        </w:rPr>
        <w:t>月</w:t>
      </w:r>
      <w:r>
        <w:rPr>
          <w:rFonts w:hint="eastAsia" w:ascii="宋体" w:hAnsi="宋体" w:eastAsia="宋体" w:cs="宋体"/>
          <w:sz w:val="32"/>
          <w:szCs w:val="32"/>
          <w:vertAlign w:val="baseline"/>
        </w:rPr>
        <w:t>25</w:t>
      </w:r>
      <w:r>
        <w:rPr>
          <w:rFonts w:hint="eastAsia" w:ascii="仿宋_GB2312" w:eastAsia="仿宋_GB2312" w:cs="仿宋_GB2312"/>
          <w:sz w:val="32"/>
          <w:szCs w:val="32"/>
          <w:vertAlign w:val="baseline"/>
        </w:rPr>
        <w:t>日起施行，有效期至</w:t>
      </w:r>
      <w:r>
        <w:rPr>
          <w:rFonts w:hint="eastAsia" w:ascii="宋体" w:hAnsi="宋体" w:eastAsia="宋体" w:cs="宋体"/>
          <w:sz w:val="32"/>
          <w:szCs w:val="32"/>
          <w:vertAlign w:val="baseline"/>
        </w:rPr>
        <w:t>2027</w:t>
      </w:r>
      <w:r>
        <w:rPr>
          <w:rFonts w:hint="eastAsia" w:ascii="仿宋_GB2312" w:eastAsia="仿宋_GB2312" w:cs="仿宋_GB2312"/>
          <w:sz w:val="32"/>
          <w:szCs w:val="32"/>
          <w:vertAlign w:val="baseline"/>
        </w:rPr>
        <w:t>年</w:t>
      </w:r>
      <w:r>
        <w:rPr>
          <w:rFonts w:hint="eastAsia" w:ascii="宋体" w:hAnsi="宋体" w:eastAsia="宋体" w:cs="宋体"/>
          <w:sz w:val="32"/>
          <w:szCs w:val="32"/>
          <w:vertAlign w:val="baseline"/>
        </w:rPr>
        <w:t>3</w:t>
      </w:r>
      <w:r>
        <w:rPr>
          <w:rFonts w:hint="eastAsia" w:ascii="仿宋_GB2312" w:eastAsia="仿宋_GB2312" w:cs="仿宋_GB2312"/>
          <w:sz w:val="32"/>
          <w:szCs w:val="32"/>
          <w:vertAlign w:val="baseline"/>
        </w:rPr>
        <w:t>月</w:t>
      </w:r>
      <w:r>
        <w:rPr>
          <w:rFonts w:hint="eastAsia" w:ascii="宋体" w:hAnsi="宋体" w:eastAsia="宋体" w:cs="宋体"/>
          <w:sz w:val="32"/>
          <w:szCs w:val="32"/>
          <w:vertAlign w:val="baseline"/>
        </w:rPr>
        <w:t>24</w:t>
      </w:r>
      <w:r>
        <w:rPr>
          <w:rFonts w:hint="eastAsia" w:ascii="仿宋_GB2312" w:eastAsia="仿宋_GB2312" w:cs="仿宋_GB2312"/>
          <w:sz w:val="32"/>
          <w:szCs w:val="32"/>
          <w:vertAlign w:val="baseline"/>
        </w:rPr>
        <w:t>日。原《关于印发赣州市文旅产业发展扶持措施（试行）的通知》（赣市府办字〔</w:t>
      </w:r>
      <w:r>
        <w:rPr>
          <w:rFonts w:hint="eastAsia" w:ascii="宋体" w:hAnsi="宋体" w:eastAsia="宋体" w:cs="宋体"/>
          <w:sz w:val="32"/>
          <w:szCs w:val="32"/>
          <w:vertAlign w:val="baseline"/>
        </w:rPr>
        <w:t>2023</w:t>
      </w:r>
      <w:r>
        <w:rPr>
          <w:rFonts w:hint="eastAsia" w:ascii="仿宋_GB2312" w:eastAsia="仿宋_GB2312" w:cs="仿宋_GB2312"/>
          <w:sz w:val="32"/>
          <w:szCs w:val="32"/>
          <w:vertAlign w:val="baseline"/>
        </w:rPr>
        <w:t>〕</w:t>
      </w:r>
      <w:r>
        <w:rPr>
          <w:rFonts w:hint="eastAsia" w:ascii="宋体" w:hAnsi="宋体" w:eastAsia="宋体" w:cs="宋体"/>
          <w:sz w:val="32"/>
          <w:szCs w:val="32"/>
          <w:vertAlign w:val="baseline"/>
        </w:rPr>
        <w:t>2</w:t>
      </w:r>
      <w:r>
        <w:rPr>
          <w:rFonts w:hint="eastAsia" w:ascii="仿宋_GB2312" w:eastAsia="仿宋_GB2312" w:cs="仿宋_GB2312"/>
          <w:sz w:val="32"/>
          <w:szCs w:val="32"/>
          <w:vertAlign w:val="baseline"/>
        </w:rPr>
        <w:t>号）同时废止。</w:t>
      </w:r>
    </w:p>
    <w:p w14:paraId="5B710E24">
      <w:pPr>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eastAsia" w:ascii="宋体" w:hAnsi="宋体" w:eastAsia="宋体" w:cs="宋体"/>
          <w:kern w:val="0"/>
          <w:sz w:val="21"/>
          <w:szCs w:val="21"/>
          <w:lang w:val="en-US" w:eastAsia="zh-CN" w:bidi="ar"/>
        </w:rPr>
        <w:t> </w:t>
      </w:r>
    </w:p>
    <w:p w14:paraId="3324C2E0">
      <w:pPr>
        <w:pStyle w:val="2"/>
        <w:keepNext w:val="0"/>
        <w:keepLines w:val="0"/>
        <w:widowControl/>
        <w:suppressLineNumbers w:val="0"/>
      </w:pPr>
    </w:p>
    <w:p w14:paraId="727D5397">
      <w:pPr>
        <w:pStyle w:val="2"/>
        <w:keepNext w:val="0"/>
        <w:keepLines w:val="0"/>
        <w:widowControl/>
        <w:suppressLineNumbers w:val="0"/>
        <w:spacing w:before="0" w:beforeAutospacing="0" w:after="0" w:afterAutospacing="0"/>
        <w:ind w:left="0" w:right="0" w:firstLine="0"/>
        <w:jc w:val="both"/>
        <w:rPr>
          <w:rFonts w:hint="default" w:ascii="Times New Roman" w:hAnsi="Times New Roman" w:cs="Times New Roman"/>
          <w:sz w:val="21"/>
          <w:szCs w:val="21"/>
        </w:rPr>
      </w:pPr>
      <w:r>
        <w:rPr>
          <w:rFonts w:hint="eastAsia" w:ascii="宋体" w:hAnsi="宋体" w:eastAsia="宋体" w:cs="宋体"/>
          <w:sz w:val="21"/>
          <w:szCs w:val="21"/>
        </w:rPr>
        <w:t> </w:t>
      </w:r>
    </w:p>
    <w:p w14:paraId="7A68A4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20" w:lineRule="atLeast"/>
        <w:ind w:left="0" w:right="0" w:firstLine="0"/>
        <w:rPr>
          <w:sz w:val="27"/>
          <w:szCs w:val="27"/>
        </w:rPr>
      </w:pPr>
      <w:r>
        <w:rPr>
          <w:sz w:val="21"/>
          <w:szCs w:val="21"/>
          <w:bdr w:val="none" w:color="auto" w:sz="0" w:space="0"/>
        </w:rPr>
        <w:t> </w:t>
      </w:r>
    </w:p>
    <w:p w14:paraId="31EAE72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1E3082-3F50-4A58-8FBE-B4369779FEE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CAC49D0-D6EC-41FE-9559-C821071D24A7}"/>
  </w:font>
  <w:font w:name="仿宋_GB2312">
    <w:panose1 w:val="02010609030101010101"/>
    <w:charset w:val="86"/>
    <w:family w:val="auto"/>
    <w:pitch w:val="default"/>
    <w:sig w:usb0="00000001" w:usb1="080E0000" w:usb2="00000000" w:usb3="00000000" w:csb0="00040000" w:csb1="00000000"/>
    <w:embedRegular r:id="rId3" w:fontKey="{27AEF833-2660-462B-B9E7-FDB6C44AE606}"/>
  </w:font>
  <w:font w:name="方正小标宋_GBK">
    <w:altName w:val="Arial Unicode MS"/>
    <w:panose1 w:val="00000000000000000000"/>
    <w:charset w:val="00"/>
    <w:family w:val="auto"/>
    <w:pitch w:val="default"/>
    <w:sig w:usb0="00000000" w:usb1="00000000" w:usb2="00000000" w:usb3="00000000" w:csb0="00000000" w:csb1="00000000"/>
    <w:embedRegular r:id="rId4" w:fontKey="{81C73886-FA8C-4BAA-A2F0-23620027D408}"/>
  </w:font>
  <w:font w:name="方正小标宋简体">
    <w:panose1 w:val="02000000000000000000"/>
    <w:charset w:val="86"/>
    <w:family w:val="auto"/>
    <w:pitch w:val="default"/>
    <w:sig w:usb0="00000001" w:usb1="080E0000" w:usb2="00000000" w:usb3="00000000" w:csb0="00040000" w:csb1="00000000"/>
    <w:embedRegular r:id="rId5" w:fontKey="{C5496759-F701-4A85-B498-08704A0C475D}"/>
  </w:font>
  <w:font w:name="仿宋">
    <w:panose1 w:val="02010609060101010101"/>
    <w:charset w:val="86"/>
    <w:family w:val="auto"/>
    <w:pitch w:val="default"/>
    <w:sig w:usb0="800002BF" w:usb1="38CF7CFA" w:usb2="00000016" w:usb3="00000000" w:csb0="00040001" w:csb1="00000000"/>
    <w:embedRegular r:id="rId6" w:fontKey="{321A40D0-B6C8-4A19-A057-E33D807B4835}"/>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E83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2025-09-26T07:57:54Z</dcterms:created>
  <dc:creator>13672</dc:creator>
  <cp:lastModifiedBy>网联科技</cp:lastModifiedBy>
  <dcterms:modified xsi:type="dcterms:W3CDTF">2025-09-26T07:58:05Z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eyJoZGlkIjoiMDE0ZmE0NmQ5NmFhNjhlOTdiY2NhNTRhNDQyZTE0ZjAiLCJ1c2VySWQiOiI5NDY0MDAxIn0=</vt:lpwstr>
  </property>
  <property fmtid="{D5CDD505-2E9C-101B-9397-08002B2CF9AE}" pid="4" name="ICV">
    <vt:lpwstr>38080A56E29C4AD3925B564EE1D32FA0_12</vt:lpwstr>
  </property>
</Properties>
</file>