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1E562">
      <w:pPr>
        <w:spacing w:line="560" w:lineRule="exact"/>
        <w:jc w:val="center"/>
        <w:rPr>
          <w:rFonts w:ascii="仿宋_GB2312" w:eastAsia="仿宋_GB2312"/>
          <w:sz w:val="32"/>
          <w:szCs w:val="32"/>
        </w:rPr>
      </w:pPr>
      <w:r>
        <w:rPr>
          <w:rFonts w:hint="eastAsia" w:ascii="方正小标宋简体" w:eastAsia="方正小标宋简体"/>
          <w:sz w:val="44"/>
          <w:szCs w:val="44"/>
        </w:rPr>
        <w:t>赣州晟晨网络科技有限公司未经著作权人许可发行他人视听作品案</w:t>
      </w:r>
    </w:p>
    <w:p w14:paraId="15BC7744">
      <w:pPr>
        <w:spacing w:line="560" w:lineRule="exact"/>
        <w:ind w:firstLine="640" w:firstLineChars="200"/>
        <w:rPr>
          <w:rFonts w:ascii="黑体" w:hAnsi="黑体" w:eastAsia="黑体"/>
          <w:sz w:val="32"/>
          <w:szCs w:val="32"/>
        </w:rPr>
      </w:pPr>
      <w:r>
        <w:rPr>
          <w:rFonts w:hint="eastAsia" w:ascii="黑体" w:hAnsi="黑体" w:eastAsia="黑体"/>
          <w:sz w:val="32"/>
          <w:szCs w:val="32"/>
        </w:rPr>
        <w:t>关键词</w:t>
      </w:r>
    </w:p>
    <w:p w14:paraId="1083C5E3">
      <w:pPr>
        <w:spacing w:line="560" w:lineRule="exact"/>
        <w:ind w:firstLine="640" w:firstLineChars="200"/>
        <w:rPr>
          <w:rFonts w:ascii="仿宋_GB2312" w:eastAsia="仿宋_GB2312"/>
          <w:sz w:val="32"/>
          <w:szCs w:val="32"/>
        </w:rPr>
      </w:pPr>
      <w:r>
        <w:rPr>
          <w:rFonts w:hint="eastAsia" w:ascii="仿宋_GB2312" w:eastAsia="仿宋_GB2312"/>
          <w:sz w:val="32"/>
          <w:szCs w:val="32"/>
        </w:rPr>
        <w:t>侵犯著作权；网络盗链；两法衔接；电子证据固定</w:t>
      </w:r>
    </w:p>
    <w:p w14:paraId="689B31FC">
      <w:pPr>
        <w:spacing w:line="560" w:lineRule="exact"/>
        <w:ind w:firstLine="640" w:firstLineChars="200"/>
        <w:rPr>
          <w:rFonts w:ascii="仿宋_GB2312" w:eastAsia="仿宋_GB2312"/>
          <w:sz w:val="32"/>
          <w:szCs w:val="32"/>
        </w:rPr>
      </w:pPr>
    </w:p>
    <w:p w14:paraId="044044E6">
      <w:pPr>
        <w:spacing w:line="560" w:lineRule="exact"/>
        <w:ind w:firstLine="640" w:firstLineChars="200"/>
        <w:rPr>
          <w:rFonts w:ascii="黑体" w:hAnsi="黑体" w:eastAsia="黑体"/>
          <w:sz w:val="32"/>
          <w:szCs w:val="32"/>
        </w:rPr>
      </w:pPr>
      <w:r>
        <w:rPr>
          <w:rFonts w:hint="eastAsia" w:ascii="黑体" w:hAnsi="黑体" w:eastAsia="黑体"/>
          <w:sz w:val="32"/>
          <w:szCs w:val="32"/>
        </w:rPr>
        <w:t>一、基本案情</w:t>
      </w:r>
    </w:p>
    <w:p w14:paraId="6AE69D1F">
      <w:pPr>
        <w:spacing w:line="560" w:lineRule="exact"/>
        <w:ind w:firstLine="640" w:firstLineChars="200"/>
        <w:rPr>
          <w:rFonts w:ascii="楷体_GB2312" w:eastAsia="楷体_GB2312"/>
          <w:sz w:val="32"/>
          <w:szCs w:val="32"/>
        </w:rPr>
      </w:pPr>
      <w:r>
        <w:rPr>
          <w:rFonts w:hint="eastAsia" w:ascii="楷体_GB2312" w:eastAsia="楷体_GB2312"/>
          <w:sz w:val="32"/>
          <w:szCs w:val="32"/>
        </w:rPr>
        <w:t>（一）案件来源</w:t>
      </w:r>
    </w:p>
    <w:p w14:paraId="348E04A2">
      <w:pPr>
        <w:spacing w:line="560" w:lineRule="exact"/>
        <w:ind w:firstLine="640" w:firstLineChars="200"/>
        <w:rPr>
          <w:rFonts w:ascii="仿宋_GB2312" w:eastAsia="仿宋_GB2312"/>
          <w:sz w:val="32"/>
          <w:szCs w:val="32"/>
        </w:rPr>
      </w:pPr>
      <w:r>
        <w:rPr>
          <w:rFonts w:hint="eastAsia" w:ascii="仿宋_GB2312" w:eastAsia="仿宋_GB2312"/>
          <w:sz w:val="32"/>
          <w:szCs w:val="32"/>
        </w:rPr>
        <w:t>2024年8月12日，赣州市文化广电旅游局接到省文化和旅游厅转办线索，反映赣州晟晨网络科技有限公司涉嫌未经著作权人许可，通过运营的“4k风暴”网站（域名：4k2160p.com）发行他人视听作品，要求依法进行核查。</w:t>
      </w:r>
    </w:p>
    <w:p w14:paraId="6D3D7C58">
      <w:pPr>
        <w:spacing w:line="560" w:lineRule="exact"/>
        <w:ind w:firstLine="640" w:firstLineChars="200"/>
        <w:rPr>
          <w:rFonts w:ascii="楷体_GB2312" w:eastAsia="楷体_GB2312"/>
          <w:sz w:val="32"/>
          <w:szCs w:val="32"/>
        </w:rPr>
      </w:pPr>
      <w:r>
        <w:rPr>
          <w:rFonts w:hint="eastAsia" w:ascii="楷体_GB2312" w:eastAsia="楷体_GB2312"/>
          <w:sz w:val="32"/>
          <w:szCs w:val="32"/>
        </w:rPr>
        <w:t>（二）案情介绍</w:t>
      </w:r>
    </w:p>
    <w:p w14:paraId="11D36656">
      <w:pPr>
        <w:spacing w:line="560" w:lineRule="exact"/>
        <w:ind w:firstLine="640" w:firstLineChars="200"/>
        <w:rPr>
          <w:rFonts w:ascii="仿宋_GB2312" w:eastAsia="仿宋_GB2312"/>
          <w:sz w:val="32"/>
          <w:szCs w:val="32"/>
        </w:rPr>
      </w:pPr>
      <w:r>
        <w:rPr>
          <w:rFonts w:hint="eastAsia" w:ascii="仿宋_GB2312" w:eastAsia="仿宋_GB2312"/>
          <w:sz w:val="32"/>
          <w:szCs w:val="32"/>
        </w:rPr>
        <w:t>赣州市文化广电旅游局于2024年8月13日启动核查，执法人员通过远程勘验</w:t>
      </w:r>
      <w:r>
        <w:rPr>
          <w:rFonts w:hint="eastAsia" w:ascii="仿宋_GB2312" w:eastAsia="仿宋_GB2312"/>
          <w:sz w:val="32"/>
          <w:szCs w:val="32"/>
          <w:lang w:eastAsia="zh-CN"/>
        </w:rPr>
        <w:t>确定</w:t>
      </w:r>
      <w:r>
        <w:rPr>
          <w:rFonts w:hint="eastAsia" w:ascii="仿宋_GB2312" w:eastAsia="仿宋_GB2312"/>
          <w:sz w:val="32"/>
          <w:szCs w:val="32"/>
        </w:rPr>
        <w:t>网站主办单位为赣州晟晨网络科技有限公司（ICP备案号：赣ICP备2024022508号-1），服务器位于浙江杭州阿里云。核查发现，该网站以“4K高清影视资源”为噱头，设置VIP会员付费充值机制，用户需充值后方可下载视听作品。</w:t>
      </w:r>
    </w:p>
    <w:p w14:paraId="2D01B3F8">
      <w:pPr>
        <w:spacing w:line="560" w:lineRule="exact"/>
        <w:ind w:firstLine="640" w:firstLineChars="200"/>
        <w:rPr>
          <w:rFonts w:ascii="仿宋_GB2312" w:eastAsia="仿宋_GB2312"/>
          <w:sz w:val="32"/>
          <w:szCs w:val="32"/>
        </w:rPr>
      </w:pPr>
      <w:r>
        <w:rPr>
          <w:rFonts w:hint="eastAsia" w:ascii="仿宋_GB2312" w:eastAsia="仿宋_GB2312"/>
          <w:sz w:val="32"/>
          <w:szCs w:val="32"/>
        </w:rPr>
        <w:t>因当事人注册地址模糊，执法人员通过网站资金收款方赣州联名网络科技有限公司追查责任人，未果后联合公安部门协作，于2024年11月4日找到该公司法定代表人许联东。经多轮远程勘验（累计496次）、调查询问及后台数据核查，确认该公司未存储影视作品，而是以“盗链”方式提供加密播放链接，对938部（集）视听作品进行分类编辑并对外提供在线观看及下载服务，其中已固定取证508部，注册会员875人，作品点击次数75053次，违法所得16912.2元（221笔订单，含微信支付115单、支付宝支付106单）。2025年6月12日，该案依法移送南康区公安局追究刑事责任。</w:t>
      </w:r>
    </w:p>
    <w:p w14:paraId="3F3EA3EE">
      <w:pPr>
        <w:spacing w:line="560" w:lineRule="exact"/>
        <w:ind w:firstLine="640" w:firstLineChars="200"/>
        <w:rPr>
          <w:rFonts w:ascii="黑体" w:hAnsi="黑体" w:eastAsia="黑体"/>
          <w:sz w:val="32"/>
          <w:szCs w:val="32"/>
        </w:rPr>
      </w:pPr>
      <w:r>
        <w:rPr>
          <w:rFonts w:hint="eastAsia" w:ascii="黑体" w:hAnsi="黑体" w:eastAsia="黑体"/>
          <w:sz w:val="32"/>
          <w:szCs w:val="32"/>
        </w:rPr>
        <w:t>二、处理结果</w:t>
      </w:r>
    </w:p>
    <w:p w14:paraId="45AEAB3B">
      <w:pPr>
        <w:spacing w:line="560" w:lineRule="exact"/>
        <w:ind w:firstLine="640" w:firstLineChars="200"/>
        <w:rPr>
          <w:rFonts w:ascii="仿宋_GB2312" w:eastAsia="仿宋_GB2312"/>
          <w:sz w:val="32"/>
          <w:szCs w:val="32"/>
        </w:rPr>
      </w:pPr>
      <w:r>
        <w:rPr>
          <w:rFonts w:hint="eastAsia" w:ascii="仿宋_GB2312" w:eastAsia="仿宋_GB2312"/>
          <w:sz w:val="32"/>
          <w:szCs w:val="32"/>
        </w:rPr>
        <w:t>本案自2024年8月12日接收线索至2025年6月12日移送公安机关，历时10个月完成调查取证与案件移送。经核查，当事人</w:t>
      </w:r>
      <w:r>
        <w:rPr>
          <w:rFonts w:hint="eastAsia" w:ascii="仿宋_GB2312" w:eastAsia="仿宋_GB2312"/>
          <w:sz w:val="32"/>
          <w:szCs w:val="32"/>
          <w:lang w:eastAsia="zh-CN"/>
        </w:rPr>
        <w:t>侵犯著作权的</w:t>
      </w:r>
      <w:r>
        <w:rPr>
          <w:rFonts w:hint="eastAsia" w:ascii="仿宋_GB2312" w:eastAsia="仿宋_GB2312"/>
          <w:sz w:val="32"/>
          <w:szCs w:val="32"/>
        </w:rPr>
        <w:t>行为符合刑事立案追诉标准，依据</w:t>
      </w:r>
      <w:r>
        <w:rPr>
          <w:rFonts w:hint="eastAsia" w:ascii="仿宋_GB2312" w:eastAsia="仿宋_GB2312"/>
          <w:sz w:val="32"/>
          <w:szCs w:val="32"/>
          <w:lang w:eastAsia="zh-CN"/>
        </w:rPr>
        <w:t>《</w:t>
      </w:r>
      <w:r>
        <w:rPr>
          <w:rFonts w:hint="eastAsia" w:ascii="仿宋_GB2312" w:eastAsia="仿宋_GB2312"/>
          <w:sz w:val="32"/>
          <w:szCs w:val="32"/>
        </w:rPr>
        <w:t>中华人民共和国</w:t>
      </w:r>
      <w:r>
        <w:rPr>
          <w:rFonts w:hint="eastAsia" w:ascii="仿宋_GB2312" w:eastAsia="仿宋_GB2312"/>
          <w:sz w:val="32"/>
          <w:szCs w:val="32"/>
          <w:lang w:eastAsia="zh-CN"/>
        </w:rPr>
        <w:t>著作权</w:t>
      </w:r>
      <w:r>
        <w:rPr>
          <w:rFonts w:hint="eastAsia" w:ascii="仿宋_GB2312" w:eastAsia="仿宋_GB2312"/>
          <w:sz w:val="32"/>
          <w:szCs w:val="32"/>
        </w:rPr>
        <w:t>法</w:t>
      </w:r>
      <w:r>
        <w:rPr>
          <w:rFonts w:hint="eastAsia" w:ascii="仿宋_GB2312" w:eastAsia="仿宋_GB2312"/>
          <w:sz w:val="32"/>
          <w:szCs w:val="32"/>
          <w:lang w:eastAsia="zh-CN"/>
        </w:rPr>
        <w:t>》第五十三条第（一）项、</w:t>
      </w:r>
      <w:r>
        <w:rPr>
          <w:rFonts w:hint="eastAsia" w:ascii="仿宋_GB2312" w:eastAsia="仿宋_GB2312"/>
          <w:sz w:val="32"/>
          <w:szCs w:val="32"/>
        </w:rPr>
        <w:t>《中华人民共和国行政处罚法》第二十七条和《行政执法机关移送涉嫌犯罪案件的规定》第三条，将案件及相关材料（含案件调查报告1份、案件移送书1份、证据材料22册、电子证据便携式硬盘1件）移送南康区公安局审查立案。公安机关已依法签收案件材料，启动后续侦查程序。</w:t>
      </w:r>
    </w:p>
    <w:p w14:paraId="2C44E61E">
      <w:pPr>
        <w:spacing w:line="560" w:lineRule="exact"/>
        <w:ind w:firstLine="640" w:firstLineChars="200"/>
        <w:rPr>
          <w:rFonts w:ascii="黑体" w:hAnsi="黑体" w:eastAsia="黑体"/>
          <w:sz w:val="32"/>
          <w:szCs w:val="32"/>
        </w:rPr>
      </w:pPr>
      <w:r>
        <w:rPr>
          <w:rFonts w:hint="eastAsia" w:ascii="黑体" w:hAnsi="黑体" w:eastAsia="黑体"/>
          <w:sz w:val="32"/>
          <w:szCs w:val="32"/>
        </w:rPr>
        <w:t>三、案情解析</w:t>
      </w:r>
    </w:p>
    <w:p w14:paraId="4B8CB72B">
      <w:pPr>
        <w:spacing w:line="560" w:lineRule="exact"/>
        <w:ind w:firstLine="640" w:firstLineChars="200"/>
        <w:rPr>
          <w:rFonts w:ascii="楷体_GB2312" w:eastAsia="楷体_GB2312"/>
          <w:sz w:val="32"/>
          <w:szCs w:val="32"/>
        </w:rPr>
      </w:pPr>
      <w:r>
        <w:rPr>
          <w:rFonts w:hint="eastAsia" w:ascii="楷体_GB2312" w:eastAsia="楷体_GB2312"/>
          <w:sz w:val="32"/>
          <w:szCs w:val="32"/>
        </w:rPr>
        <w:t>（一）案情分析</w:t>
      </w:r>
    </w:p>
    <w:p w14:paraId="417251B5">
      <w:pPr>
        <w:spacing w:line="560" w:lineRule="exact"/>
        <w:ind w:firstLine="643" w:firstLineChars="200"/>
        <w:rPr>
          <w:rFonts w:ascii="仿宋_GB2312" w:eastAsia="仿宋_GB2312"/>
          <w:b/>
          <w:sz w:val="32"/>
          <w:szCs w:val="32"/>
        </w:rPr>
      </w:pPr>
      <w:r>
        <w:rPr>
          <w:rFonts w:hint="eastAsia" w:ascii="仿宋_GB2312" w:eastAsia="仿宋_GB2312"/>
          <w:b/>
          <w:sz w:val="32"/>
          <w:szCs w:val="32"/>
        </w:rPr>
        <w:t xml:space="preserve">1.背景介绍 </w:t>
      </w:r>
    </w:p>
    <w:p w14:paraId="360DEEF8">
      <w:pPr>
        <w:spacing w:line="560" w:lineRule="exact"/>
        <w:ind w:firstLine="640" w:firstLineChars="200"/>
        <w:rPr>
          <w:rFonts w:ascii="仿宋_GB2312" w:eastAsia="仿宋_GB2312"/>
          <w:sz w:val="32"/>
          <w:szCs w:val="32"/>
        </w:rPr>
      </w:pPr>
      <w:r>
        <w:rPr>
          <w:rFonts w:hint="eastAsia" w:ascii="仿宋_GB2312" w:eastAsia="仿宋_GB2312"/>
          <w:sz w:val="32"/>
          <w:szCs w:val="32"/>
        </w:rPr>
        <w:t>当前网络视听领域侵权行为呈隐蔽化、规模化趋势，部分主体利用“盗链”技术规避服务器存储风险，以付费会员模式非法牟利，严重侵害著作权人合法权益，破坏文化市场公平竞争秩序。该案是典型的网络环境下侵犯著作权案件，涉案作品数量多、传播范围广、受害主体分散，其查处与移送对打击同类网络侵权行为、规范</w:t>
      </w:r>
      <w:r>
        <w:rPr>
          <w:rFonts w:hint="eastAsia" w:ascii="仿宋_GB2312" w:eastAsia="仿宋_GB2312"/>
          <w:sz w:val="32"/>
          <w:szCs w:val="32"/>
          <w:lang w:eastAsia="zh-CN"/>
        </w:rPr>
        <w:t>网络</w:t>
      </w:r>
      <w:r>
        <w:rPr>
          <w:rFonts w:hint="eastAsia" w:ascii="仿宋_GB2312" w:eastAsia="仿宋_GB2312"/>
          <w:sz w:val="32"/>
          <w:szCs w:val="32"/>
        </w:rPr>
        <w:t>文化市场</w:t>
      </w:r>
      <w:r>
        <w:rPr>
          <w:rFonts w:hint="eastAsia" w:ascii="仿宋_GB2312" w:eastAsia="仿宋_GB2312"/>
          <w:sz w:val="32"/>
          <w:szCs w:val="32"/>
          <w:lang w:eastAsia="zh-CN"/>
        </w:rPr>
        <w:t>发展</w:t>
      </w:r>
      <w:r>
        <w:rPr>
          <w:rFonts w:hint="eastAsia" w:ascii="仿宋_GB2312" w:eastAsia="仿宋_GB2312"/>
          <w:sz w:val="32"/>
          <w:szCs w:val="32"/>
        </w:rPr>
        <w:t>具有重要警示教育意义。</w:t>
      </w:r>
    </w:p>
    <w:p w14:paraId="268CF21F">
      <w:pPr>
        <w:spacing w:line="560" w:lineRule="exact"/>
        <w:ind w:firstLine="643" w:firstLineChars="200"/>
        <w:rPr>
          <w:rFonts w:ascii="仿宋_GB2312" w:eastAsia="仿宋_GB2312"/>
          <w:b/>
          <w:sz w:val="32"/>
          <w:szCs w:val="32"/>
        </w:rPr>
      </w:pPr>
      <w:r>
        <w:rPr>
          <w:rFonts w:hint="eastAsia" w:ascii="仿宋_GB2312" w:eastAsia="仿宋_GB2312"/>
          <w:b/>
          <w:sz w:val="32"/>
          <w:szCs w:val="32"/>
        </w:rPr>
        <w:t xml:space="preserve">2.个案分析 </w:t>
      </w:r>
    </w:p>
    <w:p w14:paraId="456FC1DA">
      <w:pPr>
        <w:spacing w:line="560" w:lineRule="exact"/>
        <w:ind w:firstLine="640" w:firstLineChars="200"/>
        <w:rPr>
          <w:rFonts w:ascii="仿宋_GB2312" w:eastAsia="仿宋_GB2312"/>
          <w:sz w:val="32"/>
          <w:szCs w:val="32"/>
        </w:rPr>
      </w:pPr>
      <w:r>
        <w:rPr>
          <w:rFonts w:hint="eastAsia" w:ascii="仿宋_GB2312" w:eastAsia="仿宋_GB2312"/>
          <w:sz w:val="32"/>
          <w:szCs w:val="32"/>
        </w:rPr>
        <w:t>该案办理的重点与难点集中在三方面：一是取证难，当事人未直接存储作品，仅通过“盗链”提供链接，需通过远程勘验固定作品下载、播放全过程证据；二是找人难，当事人注册地址模糊，通过资金流向追查关联公司仍未获线索，需依托公安部门协作锁定责任人；三是事实认定难，需区分“盗链”行为是否属于著作权法规定的“发行权”范畴，以及违法所得与侵权作品数量的精准统计。对此，办案机关采取“远程勘验+资金溯源+跨部门协作”模式，通过496次远程录屏、截图、勘验笔录固定电子证据，核对交易流水确认违法所得，联合公安部门突破责任人查找瓶颈，最终完整还原违法事实。</w:t>
      </w:r>
    </w:p>
    <w:p w14:paraId="1BA31A36">
      <w:pPr>
        <w:spacing w:line="560" w:lineRule="exact"/>
        <w:ind w:firstLine="640" w:firstLineChars="200"/>
        <w:rPr>
          <w:rFonts w:ascii="楷体_GB2312" w:eastAsia="楷体_GB2312"/>
          <w:sz w:val="32"/>
          <w:szCs w:val="32"/>
        </w:rPr>
      </w:pPr>
      <w:r>
        <w:rPr>
          <w:rFonts w:hint="eastAsia" w:ascii="楷体_GB2312" w:eastAsia="楷体_GB2312"/>
          <w:sz w:val="32"/>
          <w:szCs w:val="32"/>
        </w:rPr>
        <w:t>（二）法律适用</w:t>
      </w:r>
    </w:p>
    <w:p w14:paraId="1332CE98">
      <w:pPr>
        <w:spacing w:line="560" w:lineRule="exact"/>
        <w:ind w:firstLine="643" w:firstLineChars="200"/>
        <w:rPr>
          <w:rFonts w:ascii="仿宋_GB2312" w:eastAsia="仿宋_GB2312"/>
          <w:b/>
          <w:sz w:val="32"/>
          <w:szCs w:val="32"/>
        </w:rPr>
      </w:pPr>
      <w:r>
        <w:rPr>
          <w:rFonts w:hint="eastAsia" w:ascii="仿宋_GB2312" w:eastAsia="仿宋_GB2312"/>
          <w:b/>
          <w:sz w:val="32"/>
          <w:szCs w:val="32"/>
        </w:rPr>
        <w:t xml:space="preserve">1.行为适用法律分析 </w:t>
      </w:r>
    </w:p>
    <w:p w14:paraId="779F14E8">
      <w:pPr>
        <w:spacing w:line="560" w:lineRule="exact"/>
        <w:ind w:firstLine="640" w:firstLineChars="200"/>
        <w:rPr>
          <w:rFonts w:ascii="仿宋_GB2312" w:eastAsia="仿宋_GB2312"/>
          <w:sz w:val="32"/>
          <w:szCs w:val="32"/>
        </w:rPr>
      </w:pPr>
      <w:r>
        <w:rPr>
          <w:rFonts w:hint="eastAsia" w:ascii="仿宋_GB2312" w:eastAsia="仿宋_GB2312"/>
          <w:sz w:val="32"/>
          <w:szCs w:val="32"/>
        </w:rPr>
        <w:t>当事人以营利为目的，未经著作权人许可，通过信息网络向公众传播他人视听作品，</w:t>
      </w:r>
      <w:r>
        <w:rPr>
          <w:rFonts w:hint="eastAsia" w:ascii="仿宋_GB2312" w:eastAsia="仿宋_GB2312"/>
          <w:sz w:val="32"/>
          <w:szCs w:val="32"/>
          <w:lang w:val="en-US" w:eastAsia="zh-CN"/>
        </w:rPr>
        <w:t>违反了</w:t>
      </w:r>
      <w:r>
        <w:rPr>
          <w:rFonts w:hint="eastAsia" w:ascii="仿宋_GB2312" w:eastAsia="仿宋_GB2312"/>
          <w:sz w:val="32"/>
          <w:szCs w:val="32"/>
        </w:rPr>
        <w:t>《中华人民共和国著作权法》第五十三条第（一）项</w:t>
      </w:r>
      <w:r>
        <w:rPr>
          <w:rFonts w:hint="eastAsia" w:ascii="仿宋_GB2312" w:eastAsia="仿宋_GB2312"/>
          <w:sz w:val="32"/>
          <w:szCs w:val="32"/>
          <w:lang w:val="en-US" w:eastAsia="zh-CN"/>
        </w:rPr>
        <w:t>之</w:t>
      </w:r>
      <w:r>
        <w:rPr>
          <w:rFonts w:hint="eastAsia" w:ascii="仿宋_GB2312" w:eastAsia="仿宋_GB2312"/>
          <w:sz w:val="32"/>
          <w:szCs w:val="32"/>
        </w:rPr>
        <w:t>规定</w:t>
      </w:r>
      <w:bookmarkStart w:id="1" w:name="_GoBack"/>
      <w:bookmarkEnd w:id="1"/>
      <w:r>
        <w:rPr>
          <w:rFonts w:hint="eastAsia" w:ascii="仿宋_GB2312" w:eastAsia="仿宋_GB2312"/>
          <w:sz w:val="32"/>
          <w:szCs w:val="32"/>
        </w:rPr>
        <w:t>。结合《最高人民检察院公安部关于公安机关管辖的刑事案件立案追诉标准的规定（一）》第二十六条第（三）项，当事人非法发行视听作品数量达508部，超过“五百份以上”的刑事立案标准，依据“两法衔接”原则，依法移送公安机关追究刑事责任，符合行政裁量与刑事追诉的衔接要求。</w:t>
      </w:r>
    </w:p>
    <w:p w14:paraId="4E730AC9">
      <w:pPr>
        <w:spacing w:line="560" w:lineRule="exact"/>
        <w:ind w:firstLine="640" w:firstLineChars="200"/>
        <w:rPr>
          <w:rFonts w:ascii="仿宋_GB2312" w:eastAsia="仿宋_GB2312"/>
          <w:sz w:val="32"/>
          <w:szCs w:val="32"/>
        </w:rPr>
      </w:pPr>
    </w:p>
    <w:p w14:paraId="4D58AE1F">
      <w:pPr>
        <w:spacing w:line="560" w:lineRule="exact"/>
        <w:ind w:firstLine="643" w:firstLineChars="200"/>
        <w:rPr>
          <w:rFonts w:ascii="仿宋_GB2312" w:eastAsia="仿宋_GB2312"/>
          <w:b/>
          <w:sz w:val="32"/>
          <w:szCs w:val="32"/>
        </w:rPr>
      </w:pPr>
      <w:r>
        <w:rPr>
          <w:rFonts w:hint="eastAsia" w:ascii="仿宋_GB2312" w:eastAsia="仿宋_GB2312"/>
          <w:b/>
          <w:sz w:val="32"/>
          <w:szCs w:val="32"/>
        </w:rPr>
        <w:t xml:space="preserve">2.争议焦点分析 </w:t>
      </w:r>
    </w:p>
    <w:p w14:paraId="30EA2C2C">
      <w:pPr>
        <w:spacing w:line="560" w:lineRule="exact"/>
        <w:ind w:firstLine="640" w:firstLineChars="200"/>
        <w:rPr>
          <w:rFonts w:ascii="仿宋_GB2312" w:eastAsia="仿宋_GB2312"/>
          <w:sz w:val="32"/>
          <w:szCs w:val="32"/>
        </w:rPr>
      </w:pPr>
      <w:r>
        <w:rPr>
          <w:rFonts w:hint="eastAsia" w:ascii="仿宋_GB2312" w:eastAsia="仿宋_GB2312"/>
          <w:sz w:val="32"/>
          <w:szCs w:val="32"/>
        </w:rPr>
        <w:t>本案核心争议焦点为“盗链提供视听作品是否属于‘发行’行为”及“‘未经著作权人许可’如何认定”。从法理层面看，《中华人民共和国著作权法》规定的“发行权”包含通过信息网络传播作品的行为，当事人通过“盗链”整合侵权作品链接并对外提供付费下载服务，本质上属于发行行为；关于“未经许可”的认定，因涉案作品种类多、权利人分散，办案机关结合美国电影协会北京代表处出具的鉴定报告，及当事人无法提供著作权人许可证明的事实，依据《最高人民法院、最高人民检察院、公安部关于办理侵犯知识产权刑事案件适用法律若干问题的意见（2011年）》第十一条，认定其“未经著作权人许可”，符合立法目的与司法实践标准。</w:t>
      </w:r>
    </w:p>
    <w:p w14:paraId="18C498F4">
      <w:pPr>
        <w:spacing w:line="560" w:lineRule="exact"/>
        <w:ind w:firstLine="640" w:firstLineChars="200"/>
        <w:rPr>
          <w:rFonts w:ascii="楷体_GB2312" w:eastAsia="楷体_GB2312"/>
          <w:sz w:val="32"/>
          <w:szCs w:val="32"/>
        </w:rPr>
      </w:pPr>
      <w:r>
        <w:rPr>
          <w:rFonts w:hint="eastAsia" w:ascii="楷体_GB2312" w:eastAsia="楷体_GB2312"/>
          <w:sz w:val="32"/>
          <w:szCs w:val="32"/>
        </w:rPr>
        <w:t>（三）易错点或示范点</w:t>
      </w:r>
    </w:p>
    <w:p w14:paraId="5B4D893E">
      <w:pPr>
        <w:spacing w:line="560" w:lineRule="exact"/>
        <w:ind w:firstLine="643" w:firstLineChars="200"/>
        <w:rPr>
          <w:rFonts w:ascii="仿宋_GB2312" w:eastAsia="仿宋_GB2312"/>
          <w:b/>
          <w:sz w:val="32"/>
          <w:szCs w:val="32"/>
        </w:rPr>
      </w:pPr>
      <w:r>
        <w:rPr>
          <w:rFonts w:hint="eastAsia" w:ascii="仿宋_GB2312" w:eastAsia="仿宋_GB2312"/>
          <w:b/>
          <w:sz w:val="32"/>
          <w:szCs w:val="32"/>
        </w:rPr>
        <w:t xml:space="preserve">1.执法程序方面的示范点 </w:t>
      </w:r>
    </w:p>
    <w:p w14:paraId="093CAFB5">
      <w:pPr>
        <w:spacing w:line="560" w:lineRule="exact"/>
        <w:ind w:firstLine="643" w:firstLineChars="200"/>
        <w:rPr>
          <w:rFonts w:ascii="仿宋_GB2312" w:eastAsia="仿宋_GB2312"/>
          <w:sz w:val="32"/>
          <w:szCs w:val="32"/>
        </w:rPr>
      </w:pPr>
      <w:r>
        <w:rPr>
          <w:rFonts w:hint="eastAsia" w:ascii="仿宋_GB2312" w:eastAsia="仿宋_GB2312"/>
          <w:b/>
          <w:sz w:val="32"/>
          <w:szCs w:val="32"/>
        </w:rPr>
        <w:t>网络案件取证规范化：</w:t>
      </w:r>
      <w:r>
        <w:rPr>
          <w:rFonts w:hint="eastAsia" w:ascii="仿宋_GB2312" w:eastAsia="仿宋_GB2312"/>
          <w:sz w:val="32"/>
          <w:szCs w:val="32"/>
        </w:rPr>
        <w:t xml:space="preserve">采用“充值验证+录屏取证+截图固定+勘验笔录”四维取证模式，对496次远程勘验全过程记录，确保电子证据的真实性、合法性、关联性，为同类网络侵权案件电子证据固定提供参考。  </w:t>
      </w:r>
    </w:p>
    <w:p w14:paraId="606F4828">
      <w:pPr>
        <w:spacing w:line="560" w:lineRule="exact"/>
        <w:ind w:firstLine="643" w:firstLineChars="200"/>
        <w:rPr>
          <w:rFonts w:ascii="仿宋_GB2312" w:eastAsia="仿宋_GB2312"/>
          <w:sz w:val="32"/>
          <w:szCs w:val="32"/>
        </w:rPr>
      </w:pPr>
      <w:r>
        <w:rPr>
          <w:rFonts w:hint="eastAsia" w:ascii="仿宋_GB2312" w:eastAsia="仿宋_GB2312"/>
          <w:b/>
          <w:sz w:val="32"/>
          <w:szCs w:val="32"/>
        </w:rPr>
        <w:t>跨部门协作高效化：</w:t>
      </w:r>
      <w:r>
        <w:rPr>
          <w:rFonts w:hint="eastAsia" w:ascii="仿宋_GB2312" w:eastAsia="仿宋_GB2312"/>
          <w:sz w:val="32"/>
          <w:szCs w:val="32"/>
        </w:rPr>
        <w:t xml:space="preserve">针对当事人地址模糊、责任人隐匿问题，及时联动公安部门开展协作，通过资金流向溯源、法人信息核查等手段锁定责任人，实现行政执法与刑事侦查的无缝衔接。  </w:t>
      </w:r>
    </w:p>
    <w:p w14:paraId="7DF0EA38">
      <w:pPr>
        <w:spacing w:line="560" w:lineRule="exact"/>
        <w:ind w:firstLine="643" w:firstLineChars="200"/>
        <w:rPr>
          <w:rFonts w:ascii="仿宋_GB2312" w:eastAsia="仿宋_GB2312"/>
          <w:sz w:val="32"/>
          <w:szCs w:val="32"/>
        </w:rPr>
      </w:pPr>
      <w:r>
        <w:rPr>
          <w:rFonts w:hint="eastAsia" w:ascii="仿宋_GB2312" w:eastAsia="仿宋_GB2312"/>
          <w:b/>
          <w:sz w:val="32"/>
          <w:szCs w:val="32"/>
        </w:rPr>
        <w:t>案件移送标准化：</w:t>
      </w:r>
      <w:r>
        <w:rPr>
          <w:rFonts w:hint="eastAsia" w:ascii="仿宋_GB2312" w:eastAsia="仿宋_GB2312"/>
          <w:sz w:val="32"/>
          <w:szCs w:val="32"/>
        </w:rPr>
        <w:t>严格按照《行政执法机关移送涉嫌犯罪案件的规定》，整理22册书面证据及1件电子证据硬盘，明确移送清单与法律依据，确保移送程序合法合规。</w:t>
      </w:r>
    </w:p>
    <w:p w14:paraId="127CB93F">
      <w:pPr>
        <w:spacing w:line="560" w:lineRule="exact"/>
        <w:ind w:firstLine="643" w:firstLineChars="200"/>
        <w:rPr>
          <w:rFonts w:ascii="仿宋_GB2312" w:eastAsia="仿宋_GB2312"/>
          <w:b/>
          <w:sz w:val="32"/>
          <w:szCs w:val="32"/>
        </w:rPr>
      </w:pPr>
      <w:r>
        <w:rPr>
          <w:rFonts w:hint="eastAsia" w:ascii="仿宋_GB2312" w:eastAsia="仿宋_GB2312"/>
          <w:b/>
          <w:sz w:val="32"/>
          <w:szCs w:val="32"/>
        </w:rPr>
        <w:t xml:space="preserve">2.法律适用方面的示范点 </w:t>
      </w:r>
    </w:p>
    <w:p w14:paraId="5900C784">
      <w:pPr>
        <w:spacing w:line="560" w:lineRule="exact"/>
        <w:ind w:firstLine="643" w:firstLineChars="200"/>
        <w:rPr>
          <w:rFonts w:ascii="仿宋_GB2312" w:eastAsia="仿宋_GB2312"/>
          <w:sz w:val="32"/>
          <w:szCs w:val="32"/>
        </w:rPr>
      </w:pPr>
      <w:r>
        <w:rPr>
          <w:rFonts w:hint="eastAsia" w:ascii="仿宋_GB2312" w:eastAsia="仿宋_GB2312"/>
          <w:b/>
          <w:sz w:val="32"/>
          <w:szCs w:val="32"/>
        </w:rPr>
        <w:t>精准区分行政违法与刑事犯罪：</w:t>
      </w:r>
      <w:r>
        <w:rPr>
          <w:rFonts w:hint="eastAsia" w:ascii="仿宋_GB2312" w:eastAsia="仿宋_GB2312"/>
          <w:sz w:val="32"/>
          <w:szCs w:val="32"/>
        </w:rPr>
        <w:t xml:space="preserve">准确适用刑事立案追诉标准，依据侵权作品数量（508部）超过“五百份以上”的规定，认定达到刑事立案标准，避免“以行代刑”。  </w:t>
      </w:r>
    </w:p>
    <w:p w14:paraId="7BDFF49D">
      <w:pPr>
        <w:spacing w:line="560" w:lineRule="exact"/>
        <w:ind w:firstLine="643" w:firstLineChars="200"/>
        <w:rPr>
          <w:rFonts w:ascii="仿宋_GB2312" w:eastAsia="仿宋_GB2312"/>
          <w:sz w:val="32"/>
          <w:szCs w:val="32"/>
        </w:rPr>
      </w:pPr>
      <w:r>
        <w:rPr>
          <w:rFonts w:hint="eastAsia" w:ascii="仿宋_GB2312" w:eastAsia="仿宋_GB2312"/>
          <w:b/>
          <w:sz w:val="32"/>
          <w:szCs w:val="32"/>
        </w:rPr>
        <w:t>明确“盗链”行为法律定性：</w:t>
      </w:r>
      <w:r>
        <w:rPr>
          <w:rFonts w:hint="eastAsia" w:ascii="仿宋_GB2312" w:eastAsia="仿宋_GB2312"/>
          <w:sz w:val="32"/>
          <w:szCs w:val="32"/>
        </w:rPr>
        <w:t>结合著作权法及司法解释，认定“盗链”提供视听作品属于“发行”行为，厘清网络环境下著作权侵权的认定边界。</w:t>
      </w:r>
    </w:p>
    <w:p w14:paraId="7CEDFE77">
      <w:pPr>
        <w:spacing w:line="560" w:lineRule="exact"/>
        <w:ind w:firstLine="643" w:firstLineChars="200"/>
        <w:rPr>
          <w:rFonts w:ascii="仿宋_GB2312" w:eastAsia="仿宋_GB2312"/>
          <w:b/>
          <w:sz w:val="32"/>
          <w:szCs w:val="32"/>
        </w:rPr>
      </w:pPr>
      <w:r>
        <w:rPr>
          <w:rFonts w:hint="eastAsia" w:ascii="仿宋_GB2312" w:eastAsia="仿宋_GB2312"/>
          <w:b/>
          <w:sz w:val="32"/>
          <w:szCs w:val="32"/>
        </w:rPr>
        <w:t xml:space="preserve">3.法律效果和社会效果示范点 </w:t>
      </w:r>
    </w:p>
    <w:p w14:paraId="31942947">
      <w:pPr>
        <w:spacing w:line="560" w:lineRule="exact"/>
        <w:ind w:firstLine="643" w:firstLineChars="200"/>
        <w:rPr>
          <w:rFonts w:ascii="仿宋_GB2312" w:eastAsia="仿宋_GB2312"/>
          <w:sz w:val="32"/>
          <w:szCs w:val="32"/>
        </w:rPr>
      </w:pPr>
      <w:r>
        <w:rPr>
          <w:rFonts w:hint="eastAsia" w:ascii="仿宋_GB2312" w:eastAsia="仿宋_GB2312"/>
          <w:b/>
          <w:sz w:val="32"/>
          <w:szCs w:val="32"/>
        </w:rPr>
        <w:t>打击与保护并重：</w:t>
      </w:r>
      <w:r>
        <w:rPr>
          <w:rFonts w:hint="eastAsia" w:ascii="仿宋_GB2312" w:eastAsia="仿宋_GB2312"/>
          <w:sz w:val="32"/>
          <w:szCs w:val="32"/>
        </w:rPr>
        <w:t xml:space="preserve">依法查处侵权行为，既维护了著作权人（含涉外权利人）的合法权益，又通过刑事移送形成强力震慑，遏制网络视听侵权乱象。  </w:t>
      </w:r>
    </w:p>
    <w:p w14:paraId="714CCD74">
      <w:pPr>
        <w:spacing w:line="560" w:lineRule="exact"/>
        <w:ind w:firstLine="643" w:firstLineChars="200"/>
        <w:rPr>
          <w:rFonts w:ascii="仿宋_GB2312" w:eastAsia="仿宋_GB2312"/>
          <w:sz w:val="32"/>
          <w:szCs w:val="32"/>
        </w:rPr>
      </w:pPr>
      <w:r>
        <w:rPr>
          <w:rFonts w:hint="eastAsia" w:ascii="仿宋_GB2312" w:eastAsia="仿宋_GB2312"/>
          <w:b/>
          <w:sz w:val="32"/>
          <w:szCs w:val="32"/>
        </w:rPr>
        <w:t>案结事了与行业治理并举：</w:t>
      </w:r>
      <w:r>
        <w:rPr>
          <w:rFonts w:hint="eastAsia" w:ascii="仿宋_GB2312" w:eastAsia="仿宋_GB2312"/>
          <w:sz w:val="32"/>
          <w:szCs w:val="32"/>
        </w:rPr>
        <w:t>通过案件办理总结网络侵权案件的取证、协作、移送经验，为文旅部门监管</w:t>
      </w:r>
      <w:r>
        <w:rPr>
          <w:rFonts w:hint="eastAsia" w:ascii="仿宋_GB2312" w:eastAsia="仿宋_GB2312"/>
          <w:sz w:val="32"/>
          <w:szCs w:val="32"/>
          <w:lang w:eastAsia="zh-CN"/>
        </w:rPr>
        <w:t>网络</w:t>
      </w:r>
      <w:r>
        <w:rPr>
          <w:rFonts w:hint="eastAsia" w:ascii="仿宋_GB2312" w:eastAsia="仿宋_GB2312"/>
          <w:sz w:val="32"/>
          <w:szCs w:val="32"/>
        </w:rPr>
        <w:t xml:space="preserve">文化市场提供实践样本；同时通过案例宣传，警示互联网企业合法经营，推动形成“办理一案、规范一片”的治理效果。  </w:t>
      </w:r>
    </w:p>
    <w:p w14:paraId="1624435A">
      <w:pPr>
        <w:spacing w:line="560" w:lineRule="exact"/>
        <w:ind w:firstLine="643" w:firstLineChars="200"/>
        <w:rPr>
          <w:rFonts w:ascii="仿宋_GB2312" w:eastAsia="仿宋_GB2312"/>
          <w:sz w:val="32"/>
          <w:szCs w:val="32"/>
        </w:rPr>
      </w:pPr>
      <w:r>
        <w:rPr>
          <w:rFonts w:hint="eastAsia" w:ascii="仿宋_GB2312" w:eastAsia="仿宋_GB2312"/>
          <w:b/>
          <w:sz w:val="32"/>
          <w:szCs w:val="32"/>
        </w:rPr>
        <w:t>彰显知识产权保护力度：</w:t>
      </w:r>
      <w:r>
        <w:rPr>
          <w:rFonts w:hint="eastAsia" w:ascii="仿宋_GB2312" w:eastAsia="仿宋_GB2312"/>
          <w:sz w:val="32"/>
          <w:szCs w:val="32"/>
        </w:rPr>
        <w:t>对涉外著作权的平等保护，体现我国严格保护知识产权的决心，助力优化营商环境。</w:t>
      </w:r>
    </w:p>
    <w:sectPr>
      <w:headerReference r:id="rId3" w:type="default"/>
      <w:footerReference r:id="rId5" w:type="default"/>
      <w:headerReference r:id="rId4" w:type="even"/>
      <w:footerReference r:id="rId6"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24A02">
    <w:pPr>
      <w:pStyle w:val="2"/>
      <w:jc w:val="right"/>
    </w:pPr>
    <w:r>
      <w:rPr>
        <w:rFonts w:hint="eastAsia" w:ascii="仿宋_GB2312" w:eastAsia="仿宋_GB2312" w:hAnsiTheme="majorHAnsi"/>
        <w:sz w:val="28"/>
        <w:szCs w:val="28"/>
      </w:rPr>
      <w:t>—</w:t>
    </w:r>
    <w:r>
      <w:rPr>
        <w:rFonts w:hint="eastAsia" w:ascii="仿宋_GB2312" w:eastAsia="仿宋_GB2312" w:hAnsiTheme="majorHAnsi"/>
        <w:sz w:val="28"/>
        <w:szCs w:val="28"/>
      </w:rPr>
      <w:fldChar w:fldCharType="begin"/>
    </w:r>
    <w:r>
      <w:rPr>
        <w:rFonts w:hint="eastAsia" w:ascii="仿宋_GB2312" w:eastAsia="仿宋_GB2312" w:hAnsiTheme="majorHAnsi"/>
        <w:sz w:val="28"/>
        <w:szCs w:val="28"/>
      </w:rPr>
      <w:instrText xml:space="preserve"> PAGE   \* MERGEFORMAT </w:instrText>
    </w:r>
    <w:r>
      <w:rPr>
        <w:rFonts w:hint="eastAsia" w:ascii="仿宋_GB2312" w:eastAsia="仿宋_GB2312" w:hAnsiTheme="majorHAnsi"/>
        <w:sz w:val="28"/>
        <w:szCs w:val="28"/>
      </w:rPr>
      <w:fldChar w:fldCharType="separate"/>
    </w:r>
    <w:r>
      <w:rPr>
        <w:rFonts w:ascii="仿宋_GB2312" w:eastAsia="仿宋_GB2312" w:hAnsiTheme="majorHAnsi"/>
        <w:sz w:val="28"/>
        <w:szCs w:val="28"/>
        <w:lang w:val="zh-CN"/>
      </w:rPr>
      <w:t>1</w:t>
    </w:r>
    <w:r>
      <w:rPr>
        <w:rFonts w:hint="eastAsia" w:ascii="仿宋_GB2312" w:eastAsia="仿宋_GB2312" w:hAnsiTheme="majorHAnsi"/>
        <w:sz w:val="28"/>
        <w:szCs w:val="28"/>
      </w:rPr>
      <w:fldChar w:fldCharType="end"/>
    </w:r>
    <w:r>
      <w:rPr>
        <w:rFonts w:hint="eastAsia" w:ascii="仿宋_GB2312" w:eastAsia="仿宋_GB2312" w:hAnsiTheme="majorHAnsi"/>
        <w:sz w:val="28"/>
        <w:szCs w:val="28"/>
      </w:rPr>
      <w:t>—</w:t>
    </w:r>
  </w:p>
  <w:p w14:paraId="7106229A">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8644D9">
    <w:pPr>
      <w:pStyle w:val="2"/>
    </w:pPr>
    <w:r>
      <w:rPr>
        <w:rFonts w:hint="eastAsia" w:ascii="仿宋_GB2312" w:eastAsia="仿宋_GB2312" w:hAnsiTheme="majorHAnsi"/>
        <w:sz w:val="28"/>
        <w:szCs w:val="28"/>
      </w:rPr>
      <w:t>—</w:t>
    </w:r>
    <w:r>
      <w:rPr>
        <w:rFonts w:hint="eastAsia" w:ascii="仿宋_GB2312" w:eastAsia="仿宋_GB2312" w:hAnsiTheme="majorHAnsi"/>
        <w:sz w:val="28"/>
        <w:szCs w:val="28"/>
      </w:rPr>
      <w:fldChar w:fldCharType="begin"/>
    </w:r>
    <w:r>
      <w:rPr>
        <w:rFonts w:hint="eastAsia" w:ascii="仿宋_GB2312" w:eastAsia="仿宋_GB2312" w:hAnsiTheme="majorHAnsi"/>
        <w:sz w:val="28"/>
        <w:szCs w:val="28"/>
      </w:rPr>
      <w:instrText xml:space="preserve"> PAGE   \* MERGEFORMAT </w:instrText>
    </w:r>
    <w:r>
      <w:rPr>
        <w:rFonts w:hint="eastAsia" w:ascii="仿宋_GB2312" w:eastAsia="仿宋_GB2312" w:hAnsiTheme="majorHAnsi"/>
        <w:sz w:val="28"/>
        <w:szCs w:val="28"/>
      </w:rPr>
      <w:fldChar w:fldCharType="separate"/>
    </w:r>
    <w:r>
      <w:rPr>
        <w:rFonts w:ascii="仿宋_GB2312" w:eastAsia="仿宋_GB2312" w:hAnsiTheme="majorHAnsi"/>
        <w:sz w:val="28"/>
        <w:szCs w:val="28"/>
        <w:lang w:val="zh-CN"/>
      </w:rPr>
      <w:t>2</w:t>
    </w:r>
    <w:r>
      <w:rPr>
        <w:rFonts w:hint="eastAsia" w:ascii="仿宋_GB2312" w:eastAsia="仿宋_GB2312" w:hAnsiTheme="majorHAnsi"/>
        <w:sz w:val="28"/>
        <w:szCs w:val="28"/>
      </w:rPr>
      <w:fldChar w:fldCharType="end"/>
    </w:r>
    <w:r>
      <w:rPr>
        <w:rFonts w:hint="eastAsia" w:ascii="仿宋_GB2312" w:eastAsia="仿宋_GB2312" w:hAnsiTheme="majorHAnsi"/>
        <w:sz w:val="28"/>
        <w:szCs w:val="28"/>
      </w:rPr>
      <w:t>—</w:t>
    </w:r>
  </w:p>
  <w:p w14:paraId="69B17DEB">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4AC355">
    <w:pPr>
      <w:spacing w:line="560" w:lineRule="exact"/>
      <w:jc w:val="left"/>
      <w:rPr>
        <w:rFonts w:ascii="黑体" w:hAnsi="黑体" w:eastAsia="黑体"/>
        <w:sz w:val="32"/>
        <w:szCs w:val="32"/>
      </w:rPr>
    </w:pPr>
    <w:bookmarkStart w:id="0" w:name="OLE_LINK3"/>
    <w:r>
      <w:rPr>
        <w:rFonts w:hint="eastAsia" w:ascii="黑体" w:hAnsi="黑体" w:eastAsia="黑体"/>
        <w:sz w:val="32"/>
        <w:szCs w:val="32"/>
      </w:rPr>
      <w:t>行政执法典型案例：</w:t>
    </w:r>
    <w:bookmarkEnd w:id="0"/>
  </w:p>
  <w:p w14:paraId="0DA06B10">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71637">
    <w:pPr>
      <w:spacing w:line="560" w:lineRule="exact"/>
      <w:jc w:val="left"/>
      <w:rPr>
        <w:rFonts w:ascii="黑体" w:hAnsi="黑体" w:eastAsia="黑体"/>
        <w:sz w:val="32"/>
        <w:szCs w:val="32"/>
      </w:rPr>
    </w:pPr>
    <w:r>
      <w:rPr>
        <w:rFonts w:hint="eastAsia" w:ascii="黑体" w:hAnsi="黑体" w:eastAsia="黑体"/>
        <w:sz w:val="32"/>
        <w:szCs w:val="32"/>
      </w:rPr>
      <w:t>行政执法典型案例：</w:t>
    </w:r>
  </w:p>
  <w:p w14:paraId="00C73A3D">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B38ED"/>
    <w:rsid w:val="0002546F"/>
    <w:rsid w:val="0013478E"/>
    <w:rsid w:val="00356026"/>
    <w:rsid w:val="0039452A"/>
    <w:rsid w:val="004111DC"/>
    <w:rsid w:val="005568DF"/>
    <w:rsid w:val="005D0BC3"/>
    <w:rsid w:val="00640575"/>
    <w:rsid w:val="00814C89"/>
    <w:rsid w:val="008B38ED"/>
    <w:rsid w:val="00AA1FFE"/>
    <w:rsid w:val="00B34E45"/>
    <w:rsid w:val="00B408A1"/>
    <w:rsid w:val="00C0497B"/>
    <w:rsid w:val="00CA640C"/>
    <w:rsid w:val="00D036F4"/>
    <w:rsid w:val="00D804EF"/>
    <w:rsid w:val="00DE1AF7"/>
    <w:rsid w:val="35ED229E"/>
    <w:rsid w:val="73221F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2395</Words>
  <Characters>2492</Characters>
  <Lines>18</Lines>
  <Paragraphs>5</Paragraphs>
  <TotalTime>5</TotalTime>
  <ScaleCrop>false</ScaleCrop>
  <LinksUpToDate>false</LinksUpToDate>
  <CharactersWithSpaces>2509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2026-03-24T03:33:00Z</dcterms:created>
  <dc:creator>asus</dc:creator>
  <cp:lastModifiedBy>Administrator</cp:lastModifiedBy>
  <dcterms:modified xsi:type="dcterms:W3CDTF">2026-03-25T08:08:02Z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eyJoZGlkIjoiNTM1MzE4YmIzOGZjYTViY2U4OTk2YWY5ZmYzMmQ1NGEiLCJ1c2VySWQiOiIyMTI0MDczNjEifQ==</vt:lpwstr>
  </property>
  <property fmtid="{D5CDD505-2E9C-101B-9397-08002B2CF9AE}" pid="3" name="KSOProductBuildVer">
    <vt:lpwstr>2052-12.1.0.25225</vt:lpwstr>
  </property>
  <property fmtid="{D5CDD505-2E9C-101B-9397-08002B2CF9AE}" pid="4" name="ICV">
    <vt:lpwstr>A6030474FE1A45A087D8EE4F0AACBE76_12</vt:lpwstr>
  </property>
</Properties>
</file>