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D6D4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章贡区华众文体用品商行未经著作权人</w:t>
      </w:r>
    </w:p>
    <w:p w14:paraId="6D2B9D6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许可向公众发行其作品案</w:t>
      </w:r>
    </w:p>
    <w:p w14:paraId="50100E4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24"/>
          <w:szCs w:val="24"/>
        </w:rPr>
      </w:pPr>
    </w:p>
    <w:p w14:paraId="30F7CC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关键词</w:t>
      </w:r>
    </w:p>
    <w:p w14:paraId="44480A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行刑反向衔接；侵犯著作权；证据采信；数额核算</w:t>
      </w:r>
      <w:bookmarkStart w:id="0" w:name="_GoBack"/>
      <w:bookmarkEnd w:id="0"/>
    </w:p>
    <w:p w14:paraId="5485C2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p>
    <w:p w14:paraId="0E1241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一、基本案情</w:t>
      </w:r>
    </w:p>
    <w:p w14:paraId="47ADEE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楷体" w:hAnsi="楷体" w:eastAsia="楷体" w:cs="楷体"/>
          <w:b/>
          <w:bCs/>
          <w:sz w:val="32"/>
          <w:szCs w:val="32"/>
        </w:rPr>
        <w:t>案件来源：</w:t>
      </w:r>
      <w:r>
        <w:rPr>
          <w:rFonts w:hint="default" w:ascii="Times New Roman" w:hAnsi="Times New Roman" w:eastAsia="仿宋_GB2312" w:cs="Times New Roman"/>
          <w:sz w:val="32"/>
          <w:szCs w:val="32"/>
        </w:rPr>
        <w:t>本案系行刑</w:t>
      </w:r>
      <w:r>
        <w:rPr>
          <w:rFonts w:hint="eastAsia" w:ascii="Times New Roman" w:hAnsi="Times New Roman" w:eastAsia="仿宋_GB2312" w:cs="Times New Roman"/>
          <w:sz w:val="32"/>
          <w:szCs w:val="32"/>
          <w:lang w:val="en-US" w:eastAsia="zh-CN"/>
        </w:rPr>
        <w:t>反向</w:t>
      </w:r>
      <w:r>
        <w:rPr>
          <w:rFonts w:hint="default" w:ascii="Times New Roman" w:hAnsi="Times New Roman" w:eastAsia="仿宋_GB2312" w:cs="Times New Roman"/>
          <w:sz w:val="32"/>
          <w:szCs w:val="32"/>
        </w:rPr>
        <w:t>衔接线索移送案件。2025年4月18日，崇义县公安局森林分局在办理章贡区华众文体用品商行（经营者：华毅）涉嫌销售侵权复制品，经侦查及出版社鉴定后，认定涉案金额未达刑事立案标准，遂将案件线索、调查材料、涉案出版物登记保存清单等资料移送至</w:t>
      </w:r>
      <w:r>
        <w:rPr>
          <w:rFonts w:hint="eastAsia" w:ascii="Times New Roman" w:hAnsi="Times New Roman" w:eastAsia="仿宋_GB2312" w:cs="Times New Roman"/>
          <w:sz w:val="32"/>
          <w:szCs w:val="32"/>
          <w:lang w:val="en-US" w:eastAsia="zh-CN"/>
        </w:rPr>
        <w:t>赣州市文化广电旅游局下属</w:t>
      </w:r>
      <w:r>
        <w:rPr>
          <w:rFonts w:hint="default" w:ascii="Times New Roman" w:hAnsi="Times New Roman" w:eastAsia="仿宋_GB2312" w:cs="Times New Roman"/>
          <w:sz w:val="32"/>
          <w:szCs w:val="32"/>
        </w:rPr>
        <w:t>赣州市文化市场综合执法支队章贡大队，启动行政执法程序。</w:t>
      </w:r>
    </w:p>
    <w:p w14:paraId="5C2F62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楷体" w:hAnsi="楷体" w:eastAsia="楷体" w:cs="楷体"/>
          <w:b/>
          <w:bCs/>
          <w:sz w:val="32"/>
          <w:szCs w:val="32"/>
        </w:rPr>
        <w:t>案情介绍：</w:t>
      </w:r>
      <w:r>
        <w:rPr>
          <w:rFonts w:hint="default" w:ascii="Times New Roman" w:hAnsi="Times New Roman" w:eastAsia="仿宋_GB2312" w:cs="Times New Roman"/>
          <w:sz w:val="32"/>
          <w:szCs w:val="32"/>
        </w:rPr>
        <w:t>赣州市文化广电旅游局接案后，迅速开展立案审查，于2025年4月21日依法</w:t>
      </w:r>
      <w:r>
        <w:rPr>
          <w:rFonts w:hint="eastAsia" w:ascii="Times New Roman" w:hAnsi="Times New Roman" w:eastAsia="仿宋_GB2312" w:cs="Times New Roman"/>
          <w:sz w:val="32"/>
          <w:szCs w:val="32"/>
          <w:lang w:val="en-US" w:eastAsia="zh-CN"/>
        </w:rPr>
        <w:t>予以</w:t>
      </w:r>
      <w:r>
        <w:rPr>
          <w:rFonts w:hint="default" w:ascii="Times New Roman" w:hAnsi="Times New Roman" w:eastAsia="仿宋_GB2312" w:cs="Times New Roman"/>
          <w:sz w:val="32"/>
          <w:szCs w:val="32"/>
        </w:rPr>
        <w:t>立案。办案机关整合公安移送</w:t>
      </w:r>
      <w:r>
        <w:rPr>
          <w:rFonts w:hint="eastAsia" w:ascii="Times New Roman" w:hAnsi="Times New Roman" w:eastAsia="仿宋_GB2312" w:cs="Times New Roman"/>
          <w:sz w:val="32"/>
          <w:szCs w:val="32"/>
          <w:lang w:eastAsia="zh-CN"/>
        </w:rPr>
        <w:t>的鉴定结论</w:t>
      </w:r>
      <w:r>
        <w:rPr>
          <w:rFonts w:hint="default" w:ascii="Times New Roman" w:hAnsi="Times New Roman" w:eastAsia="仿宋_GB2312" w:cs="Times New Roman"/>
          <w:sz w:val="32"/>
          <w:szCs w:val="32"/>
        </w:rPr>
        <w:t>、涉案出版物清单，通过调查询问、凭证核验、数量统计等方式，全面核查违法事实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rPr>
        <w:t>自202</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年起，</w:t>
      </w:r>
      <w:r>
        <w:rPr>
          <w:rFonts w:hint="default" w:ascii="Times New Roman" w:hAnsi="Times New Roman" w:eastAsia="仿宋_GB2312" w:cs="Times New Roman"/>
          <w:sz w:val="32"/>
          <w:szCs w:val="32"/>
        </w:rPr>
        <w:t>当事人未经人民教育出版社、商务印书馆等著作权人许可，对外发行《聪明的牧羊人》《水浒传》《新华字典》《现代汉语词典》等21款侵权出版物，涵盖中小学课外读物、常用工具书等品类。2025年5月13日，章贡区华众文体用品商行</w:t>
      </w:r>
      <w:r>
        <w:rPr>
          <w:rFonts w:hint="eastAsia" w:ascii="Times New Roman" w:hAnsi="Times New Roman" w:eastAsia="仿宋_GB2312" w:cs="Times New Roman"/>
          <w:sz w:val="32"/>
          <w:szCs w:val="32"/>
          <w:lang w:val="en-US" w:eastAsia="zh-CN"/>
        </w:rPr>
        <w:t>受委托人</w:t>
      </w:r>
      <w:r>
        <w:rPr>
          <w:rFonts w:hint="default" w:ascii="Times New Roman" w:hAnsi="Times New Roman" w:eastAsia="仿宋_GB2312" w:cs="Times New Roman"/>
          <w:sz w:val="32"/>
          <w:szCs w:val="32"/>
        </w:rPr>
        <w:t>配合</w:t>
      </w:r>
      <w:r>
        <w:rPr>
          <w:rFonts w:hint="eastAsia" w:ascii="Times New Roman" w:hAnsi="Times New Roman" w:eastAsia="仿宋_GB2312" w:cs="Times New Roman"/>
          <w:sz w:val="32"/>
          <w:szCs w:val="32"/>
          <w:lang w:val="en-US" w:eastAsia="zh-CN"/>
        </w:rPr>
        <w:t>接受调查询问</w:t>
      </w:r>
      <w:r>
        <w:rPr>
          <w:rFonts w:hint="default" w:ascii="Times New Roman" w:hAnsi="Times New Roman" w:eastAsia="仿宋_GB2312" w:cs="Times New Roman"/>
          <w:sz w:val="32"/>
          <w:szCs w:val="32"/>
        </w:rPr>
        <w:t>，如实承认违法事实，主动</w:t>
      </w:r>
      <w:r>
        <w:rPr>
          <w:rFonts w:hint="eastAsia" w:ascii="Times New Roman" w:hAnsi="Times New Roman" w:eastAsia="仿宋_GB2312" w:cs="Times New Roman"/>
          <w:sz w:val="32"/>
          <w:szCs w:val="32"/>
          <w:lang w:eastAsia="zh-CN"/>
        </w:rPr>
        <w:t>提供</w:t>
      </w:r>
      <w:r>
        <w:rPr>
          <w:rFonts w:hint="default" w:ascii="Times New Roman" w:hAnsi="Times New Roman" w:eastAsia="仿宋_GB2312" w:cs="Times New Roman"/>
          <w:sz w:val="32"/>
          <w:szCs w:val="32"/>
        </w:rPr>
        <w:t>进销货凭证，并在证据材料、执法文书上签字确认。经统计，2023年4月18日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2025年4月1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日期间，当事人共购进涉案侵权出版物3385本（套），已售出2483本（套），未售出902本（套），依法核定违法经营额38456.5元、违法所得4354元，案件事实清楚、证据确凿充分。</w:t>
      </w:r>
    </w:p>
    <w:p w14:paraId="65355A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640" w:firstLineChars="200"/>
        <w:rPr>
          <w:color w:val="000000"/>
          <w:sz w:val="19"/>
          <w:szCs w:val="19"/>
        </w:rPr>
      </w:pPr>
      <w:r>
        <w:rPr>
          <w:rFonts w:hint="default" w:ascii="Times New Roman" w:hAnsi="Times New Roman" w:eastAsia="黑体" w:cs="Times New Roman"/>
          <w:b w:val="0"/>
          <w:bCs w:val="0"/>
          <w:kern w:val="2"/>
          <w:sz w:val="32"/>
          <w:szCs w:val="32"/>
          <w:lang w:val="en-US" w:eastAsia="zh-CN" w:bidi="ar-SA"/>
        </w:rPr>
        <w:t>二、处理结果</w:t>
      </w:r>
    </w:p>
    <w:p w14:paraId="52FC4C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本案自立案至办结，严格遵守法定办理时限，程序规范、办理高效。赣州市文化广电旅游局结合当事人违法情节、从轻处罚情形，经集体讨论审议，</w:t>
      </w:r>
      <w:r>
        <w:rPr>
          <w:rFonts w:hint="default" w:ascii="Times New Roman" w:hAnsi="Times New Roman" w:eastAsia="仿宋_GB2312" w:cs="Times New Roman"/>
          <w:sz w:val="32"/>
          <w:szCs w:val="32"/>
        </w:rPr>
        <w:t>责令当事人立即停止侵权行为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作出行政处罚决定：</w:t>
      </w:r>
      <w:r>
        <w:rPr>
          <w:rFonts w:hint="default" w:ascii="Times New Roman" w:hAnsi="Times New Roman" w:eastAsia="仿宋_GB2312" w:cs="Times New Roman"/>
          <w:sz w:val="32"/>
          <w:szCs w:val="32"/>
        </w:rPr>
        <w:t>予以警告</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没收违法所得4354元；没收侵权出版物902本（套）；处罚款人民币30000元。</w:t>
      </w:r>
    </w:p>
    <w:p w14:paraId="7CC8B4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处罚决定书依法送达当事人后，当事人在法定期限内未申请行政复议、未提起行政诉讼，主动履行罚款缴纳、涉案物品</w:t>
      </w:r>
      <w:r>
        <w:rPr>
          <w:rFonts w:hint="eastAsia" w:ascii="Times New Roman" w:hAnsi="Times New Roman" w:eastAsia="仿宋_GB2312" w:cs="Times New Roman"/>
          <w:sz w:val="32"/>
          <w:szCs w:val="32"/>
          <w:lang w:val="en-US" w:eastAsia="zh-CN"/>
        </w:rPr>
        <w:t>上缴</w:t>
      </w:r>
      <w:r>
        <w:rPr>
          <w:rFonts w:hint="default" w:ascii="Times New Roman" w:hAnsi="Times New Roman" w:eastAsia="仿宋_GB2312" w:cs="Times New Roman"/>
          <w:sz w:val="32"/>
          <w:szCs w:val="32"/>
          <w:lang w:val="en-US" w:eastAsia="zh-CN"/>
        </w:rPr>
        <w:t>等义务，本案处罚决定全部执行到位，实现</w:t>
      </w:r>
      <w:r>
        <w:rPr>
          <w:rFonts w:hint="eastAsia" w:ascii="Times New Roman" w:hAnsi="Times New Roman" w:eastAsia="仿宋_GB2312" w:cs="Times New Roman"/>
          <w:sz w:val="32"/>
          <w:szCs w:val="32"/>
          <w:lang w:val="en-US" w:eastAsia="zh-CN"/>
        </w:rPr>
        <w:t>行政处罚全过程无</w:t>
      </w:r>
      <w:r>
        <w:rPr>
          <w:rFonts w:hint="default" w:ascii="Times New Roman" w:hAnsi="Times New Roman" w:eastAsia="仿宋_GB2312" w:cs="Times New Roman"/>
          <w:sz w:val="32"/>
          <w:szCs w:val="32"/>
          <w:lang w:val="en-US" w:eastAsia="zh-CN"/>
        </w:rPr>
        <w:t>行政争议。</w:t>
      </w:r>
    </w:p>
    <w:p w14:paraId="5E5138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firstLine="640" w:firstLineChars="200"/>
        <w:jc w:val="left"/>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三、案情解析</w:t>
      </w:r>
    </w:p>
    <w:p w14:paraId="0514E65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楷体" w:hAnsi="楷体" w:eastAsia="楷体" w:cs="楷体"/>
          <w:b/>
          <w:bCs/>
          <w:sz w:val="32"/>
          <w:szCs w:val="32"/>
        </w:rPr>
      </w:pPr>
      <w:r>
        <w:rPr>
          <w:rFonts w:hint="default" w:ascii="楷体" w:hAnsi="楷体" w:eastAsia="楷体" w:cs="楷体"/>
          <w:b/>
          <w:bCs/>
          <w:sz w:val="32"/>
          <w:szCs w:val="32"/>
        </w:rPr>
        <w:t>（一）案情分析</w:t>
      </w:r>
    </w:p>
    <w:p w14:paraId="22036AC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1.背景介绍。</w:t>
      </w:r>
      <w:r>
        <w:rPr>
          <w:rFonts w:hint="default" w:ascii="Times New Roman" w:hAnsi="Times New Roman" w:eastAsia="仿宋_GB2312" w:cs="Times New Roman"/>
          <w:sz w:val="32"/>
          <w:szCs w:val="32"/>
          <w:lang w:val="en-US" w:eastAsia="zh-CN"/>
        </w:rPr>
        <w:t>当前文化市场中，中小学课外读物、常用工具书因受众广、需求稳定，成为侵权盗版高发领域，此类出版物不仅侵害著作权人合法权益，更可能因内容错误、印刷劣质，损害青少年阅读安全，扰乱出版物市场经营秩序。本案聚焦文体用品商行非法发行侵权出版物违法行为，立案查处具有极强必要性</w:t>
      </w:r>
      <w:r>
        <w:rPr>
          <w:rFonts w:hint="eastAsia" w:ascii="Times New Roman" w:hAnsi="Times New Roman" w:eastAsia="仿宋_GB2312" w:cs="Times New Roman"/>
          <w:sz w:val="32"/>
          <w:szCs w:val="32"/>
          <w:lang w:val="en-US" w:eastAsia="zh-CN"/>
        </w:rPr>
        <w:t>。</w:t>
      </w:r>
    </w:p>
    <w:p w14:paraId="6A5BD72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2.个案分析。</w:t>
      </w:r>
      <w:r>
        <w:rPr>
          <w:rFonts w:hint="default" w:ascii="Times New Roman" w:hAnsi="Times New Roman" w:eastAsia="仿宋_GB2312" w:cs="Times New Roman"/>
          <w:sz w:val="32"/>
          <w:szCs w:val="32"/>
          <w:lang w:val="en-US" w:eastAsia="zh-CN"/>
        </w:rPr>
        <w:t>本案办理的核心</w:t>
      </w:r>
      <w:r>
        <w:rPr>
          <w:rFonts w:hint="eastAsia" w:ascii="Times New Roman" w:hAnsi="Times New Roman" w:eastAsia="仿宋_GB2312" w:cs="Times New Roman"/>
          <w:sz w:val="32"/>
          <w:szCs w:val="32"/>
          <w:lang w:val="en-US" w:eastAsia="zh-CN"/>
        </w:rPr>
        <w:t>重点和</w:t>
      </w:r>
      <w:r>
        <w:rPr>
          <w:rFonts w:hint="default" w:ascii="Times New Roman" w:hAnsi="Times New Roman" w:eastAsia="仿宋_GB2312" w:cs="Times New Roman"/>
          <w:sz w:val="32"/>
          <w:szCs w:val="32"/>
          <w:lang w:val="en-US" w:eastAsia="zh-CN"/>
        </w:rPr>
        <w:t>难点集中</w:t>
      </w:r>
      <w:r>
        <w:rPr>
          <w:rFonts w:hint="eastAsia" w:ascii="Times New Roman" w:hAnsi="Times New Roman" w:eastAsia="仿宋_GB2312" w:cs="Times New Roman"/>
          <w:sz w:val="32"/>
          <w:szCs w:val="32"/>
          <w:lang w:val="en-US" w:eastAsia="zh-CN"/>
        </w:rPr>
        <w:t>在以下两个方面</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一是行刑衔接证据转化与采信</w:t>
      </w:r>
      <w:r>
        <w:rPr>
          <w:rFonts w:hint="default" w:ascii="Times New Roman" w:hAnsi="Times New Roman" w:eastAsia="仿宋_GB2312" w:cs="Times New Roman"/>
          <w:sz w:val="32"/>
          <w:szCs w:val="32"/>
          <w:lang w:val="en-US" w:eastAsia="zh-CN"/>
        </w:rPr>
        <w:t>：公安部门已完成证据固定、出版物鉴定及涉案物品登记，执法人员严格对照行政执法证据标准，对移送的鉴定报告、询问笔录、登记保存清单等材料进行审核筛选，补全</w:t>
      </w:r>
      <w:r>
        <w:rPr>
          <w:rFonts w:hint="eastAsia" w:ascii="Times New Roman" w:hAnsi="Times New Roman" w:eastAsia="仿宋_GB2312" w:cs="Times New Roman"/>
          <w:sz w:val="32"/>
          <w:szCs w:val="32"/>
          <w:lang w:val="en-US" w:eastAsia="zh-CN"/>
        </w:rPr>
        <w:t>证据先行登记保存和处理等</w:t>
      </w:r>
      <w:r>
        <w:rPr>
          <w:rFonts w:hint="default" w:ascii="Times New Roman" w:hAnsi="Times New Roman" w:eastAsia="仿宋_GB2312" w:cs="Times New Roman"/>
          <w:sz w:val="32"/>
          <w:szCs w:val="32"/>
          <w:lang w:val="en-US" w:eastAsia="zh-CN"/>
        </w:rPr>
        <w:t>行政执法文书，确保刑事侦查证据依法转化为行政执法证据，无需重复调查，大幅提升办案效率。</w:t>
      </w:r>
      <w:r>
        <w:rPr>
          <w:rFonts w:hint="default" w:ascii="Times New Roman" w:hAnsi="Times New Roman" w:eastAsia="仿宋_GB2312" w:cs="Times New Roman"/>
          <w:b/>
          <w:bCs/>
          <w:sz w:val="32"/>
          <w:szCs w:val="32"/>
          <w:lang w:val="en-US" w:eastAsia="zh-CN"/>
        </w:rPr>
        <w:t>二是违法经营数额精准核算：</w:t>
      </w:r>
      <w:r>
        <w:rPr>
          <w:rFonts w:hint="default" w:ascii="Times New Roman" w:hAnsi="Times New Roman" w:eastAsia="仿宋_GB2312" w:cs="Times New Roman"/>
          <w:sz w:val="32"/>
          <w:szCs w:val="32"/>
          <w:lang w:val="en-US" w:eastAsia="zh-CN"/>
        </w:rPr>
        <w:t>针对涉案出版物 “已售、未售” 分类复杂的特点，依托当事人提供的完整进销货凭证，逐款、逐本核对数量与金额，严格依据《新闻出版署关于刘欣销售非法出版物一案中如何计算非法经营数额的批复》，区分售价、进价分别计算违法经营额，同时规范核算违法所得，确保数额认定精准无偏差，为裁量处罚提供坚实依据。</w:t>
      </w:r>
    </w:p>
    <w:p w14:paraId="39696CA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楷体" w:hAnsi="楷体" w:eastAsia="楷体" w:cs="楷体"/>
          <w:b/>
          <w:bCs/>
          <w:sz w:val="32"/>
          <w:szCs w:val="32"/>
          <w:lang w:val="en-US" w:eastAsia="zh-CN"/>
        </w:rPr>
      </w:pPr>
      <w:r>
        <w:rPr>
          <w:rFonts w:hint="default" w:ascii="楷体" w:hAnsi="楷体" w:eastAsia="楷体" w:cs="楷体"/>
          <w:b/>
          <w:bCs/>
          <w:sz w:val="32"/>
          <w:szCs w:val="32"/>
          <w:lang w:val="en-US" w:eastAsia="zh-CN"/>
        </w:rPr>
        <w:t>（二）法律适用</w:t>
      </w:r>
    </w:p>
    <w:p w14:paraId="69C7FFF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 行为适用法律分析</w:t>
      </w:r>
    </w:p>
    <w:p w14:paraId="3ADA5B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行为定性依据：当事人未经著作权人许可，向公众发行 21 款侵权出版物的行为，违反《中华人民共和国著作权法》第十条第一款第六项关于 “发行权，即以出售或者</w:t>
      </w:r>
      <w:r>
        <w:rPr>
          <w:rFonts w:hint="eastAsia" w:ascii="Times New Roman" w:hAnsi="Times New Roman" w:eastAsia="仿宋_GB2312" w:cs="Times New Roman"/>
          <w:sz w:val="32"/>
          <w:szCs w:val="32"/>
          <w:lang w:val="en-US" w:eastAsia="zh-CN"/>
        </w:rPr>
        <w:t>赠予</w:t>
      </w:r>
      <w:r>
        <w:rPr>
          <w:rFonts w:hint="default" w:ascii="Times New Roman" w:hAnsi="Times New Roman" w:eastAsia="仿宋_GB2312" w:cs="Times New Roman"/>
          <w:sz w:val="32"/>
          <w:szCs w:val="32"/>
          <w:lang w:val="en-US" w:eastAsia="zh-CN"/>
        </w:rPr>
        <w:t>方式向公众提供作品的原件或者复制件的权利” 的规定，侵害著作权人合法权益，且损害公共利益，依法应承担行政处罚责任。</w:t>
      </w:r>
    </w:p>
    <w:p w14:paraId="6403E6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裁量权适用：本案违法经营额38456.5元，不足5万元，符合《</w:t>
      </w:r>
      <w:r>
        <w:rPr>
          <w:rFonts w:hint="eastAsia" w:ascii="Times New Roman" w:hAnsi="Times New Roman" w:eastAsia="仿宋_GB2312" w:cs="Times New Roman"/>
          <w:sz w:val="32"/>
          <w:szCs w:val="32"/>
          <w:lang w:val="en-US" w:eastAsia="zh-CN"/>
        </w:rPr>
        <w:t>中华人民共和国著作权法</w:t>
      </w:r>
      <w:r>
        <w:rPr>
          <w:rFonts w:hint="default" w:ascii="Times New Roman" w:hAnsi="Times New Roman" w:eastAsia="仿宋_GB2312" w:cs="Times New Roman"/>
          <w:sz w:val="32"/>
          <w:szCs w:val="32"/>
          <w:lang w:val="en-US" w:eastAsia="zh-CN"/>
        </w:rPr>
        <w:t>》第五十三条第一款 “违法经营额不足五万元的，可以并处二十五万元以下的罚款” 的裁量范围。同时，当事人具备</w:t>
      </w:r>
      <w:r>
        <w:rPr>
          <w:rFonts w:hint="eastAsia" w:ascii="Times New Roman" w:hAnsi="Times New Roman" w:eastAsia="仿宋_GB2312" w:cs="Times New Roman"/>
          <w:sz w:val="32"/>
          <w:szCs w:val="32"/>
          <w:lang w:val="en-US" w:eastAsia="zh-CN"/>
        </w:rPr>
        <w:t>《中华人民共和国行政处罚法》</w:t>
      </w:r>
      <w:r>
        <w:rPr>
          <w:rFonts w:hint="default" w:ascii="Times New Roman" w:hAnsi="Times New Roman" w:eastAsia="仿宋_GB2312" w:cs="Times New Roman"/>
          <w:sz w:val="32"/>
          <w:szCs w:val="32"/>
          <w:lang w:val="en-US" w:eastAsia="zh-CN"/>
        </w:rPr>
        <w:t>第三十二条第一款第一项规定的 “主动消除或者减轻违法行为危害后果” 从轻情节，结合《江西省文化市场综合执法行政处罚裁量基准（2022年版）》较轻情形标准，综合考量违法事实、情节、社会危害程度及当事人整改态度，最终作出 “警告+没收违法所得+没收侵权物品+罚款” 的处罚决定，裁量幅度合理、适用法律准确，兼顾处罚力度与教育意义。</w:t>
      </w:r>
    </w:p>
    <w:p w14:paraId="1AFC03C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 争议焦点分析</w:t>
      </w:r>
    </w:p>
    <w:p w14:paraId="15BD5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本案在违法事实认定、法律适用、程序合规性等方面均无争议焦点。当事人对自身侵权行为及处罚结果无异议，主动配合履行义务；执法机关严格依据《</w:t>
      </w:r>
      <w:r>
        <w:rPr>
          <w:rFonts w:hint="eastAsia" w:ascii="Times New Roman" w:hAnsi="Times New Roman" w:eastAsia="仿宋_GB2312" w:cs="Times New Roman"/>
          <w:sz w:val="32"/>
          <w:szCs w:val="32"/>
          <w:lang w:val="en-US" w:eastAsia="zh-CN"/>
        </w:rPr>
        <w:t>中华人民共和国著作权法</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《中华人民共和国行政处罚法》</w:t>
      </w:r>
      <w:r>
        <w:rPr>
          <w:rFonts w:hint="default" w:ascii="Times New Roman" w:hAnsi="Times New Roman" w:eastAsia="仿宋_GB2312" w:cs="Times New Roman"/>
          <w:sz w:val="32"/>
          <w:szCs w:val="32"/>
          <w:lang w:val="en-US" w:eastAsia="zh-CN"/>
        </w:rPr>
        <w:t>及相关裁量基准开展执法，证据确凿充分，程序规范合法，不存在法律理解偏差、事实认定错误或程序瑕疵问题</w:t>
      </w:r>
      <w:r>
        <w:rPr>
          <w:rFonts w:hint="eastAsia" w:ascii="Times New Roman" w:hAnsi="Times New Roman" w:eastAsia="仿宋_GB2312" w:cs="Times New Roman"/>
          <w:sz w:val="32"/>
          <w:szCs w:val="32"/>
          <w:lang w:val="en-US" w:eastAsia="zh-CN"/>
        </w:rPr>
        <w:t>。同时，充分保障了当事人陈述、申辩和听证的权利，</w:t>
      </w:r>
      <w:r>
        <w:rPr>
          <w:rFonts w:hint="default" w:ascii="Times New Roman" w:hAnsi="Times New Roman" w:eastAsia="仿宋_GB2312" w:cs="Times New Roman"/>
          <w:sz w:val="32"/>
          <w:szCs w:val="32"/>
          <w:lang w:val="en-US" w:eastAsia="zh-CN"/>
        </w:rPr>
        <w:t>实现了执法办案的公平公正。</w:t>
      </w:r>
    </w:p>
    <w:p w14:paraId="192F12B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楷体" w:hAnsi="楷体" w:eastAsia="楷体" w:cs="楷体"/>
          <w:b/>
          <w:bCs/>
          <w:sz w:val="32"/>
          <w:szCs w:val="32"/>
          <w:lang w:val="en-US" w:eastAsia="zh-CN"/>
        </w:rPr>
      </w:pPr>
      <w:r>
        <w:rPr>
          <w:rFonts w:hint="default" w:ascii="楷体" w:hAnsi="楷体" w:eastAsia="楷体" w:cs="楷体"/>
          <w:b/>
          <w:bCs/>
          <w:sz w:val="32"/>
          <w:szCs w:val="32"/>
          <w:lang w:val="en-US" w:eastAsia="zh-CN"/>
        </w:rPr>
        <w:t>（三）易错点或示范点</w:t>
      </w:r>
    </w:p>
    <w:p w14:paraId="1285617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 执法程序方面的示范点</w:t>
      </w:r>
      <w:r>
        <w:rPr>
          <w:rFonts w:hint="eastAsia" w:ascii="Times New Roman" w:hAnsi="Times New Roman" w:eastAsia="仿宋_GB2312" w:cs="Times New Roman"/>
          <w:b/>
          <w:bCs/>
          <w:sz w:val="32"/>
          <w:szCs w:val="32"/>
          <w:lang w:val="en-US" w:eastAsia="zh-CN"/>
        </w:rPr>
        <w:t>。</w:t>
      </w:r>
      <w:r>
        <w:rPr>
          <w:rFonts w:hint="default" w:ascii="Times New Roman" w:hAnsi="Times New Roman" w:eastAsia="仿宋_GB2312" w:cs="Times New Roman"/>
          <w:sz w:val="32"/>
          <w:szCs w:val="32"/>
          <w:lang w:val="en-US" w:eastAsia="zh-CN"/>
        </w:rPr>
        <w:t>本案是行刑衔接案件办理的典型范例，在程序规范上具有重要推广价值：一是规范线索移送与接收：严格落实行刑衔接工作机制，对照移送标准审核线索、资料及涉案物品，确保材料完整、证据闭环，避免案件流失或重复调查，实现刑事侦查与行政执法无缝衔接。二是全流程程序规范：从立案、调查取证、证据核验、法制审核、集体讨论、处罚告知到决定送达、执行监督，每一步均严格遵守法定程序，制作规范执法文书，保障当事人陈述、申辩等权利，杜绝程序违法风险。三是调查与执行衔接顺畅：案件办结后，实时跟进当事人履行情况，通过督促提醒、合规引导等方式，确保罚款缴纳、涉案物品上缴等义务全部执行到位，实现案件 “立、查、罚、执” 全流程闭环管理。</w:t>
      </w:r>
    </w:p>
    <w:p w14:paraId="187E8A4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 法律适用方面的示范点或易错点</w:t>
      </w:r>
      <w:r>
        <w:rPr>
          <w:rFonts w:hint="eastAsia" w:ascii="Times New Roman" w:hAnsi="Times New Roman" w:eastAsia="仿宋_GB2312" w:cs="Times New Roman"/>
          <w:b/>
          <w:bCs/>
          <w:sz w:val="32"/>
          <w:szCs w:val="32"/>
          <w:lang w:val="en-US" w:eastAsia="zh-CN"/>
        </w:rPr>
        <w:t>。</w:t>
      </w:r>
      <w:r>
        <w:rPr>
          <w:rFonts w:hint="default" w:ascii="Times New Roman" w:hAnsi="Times New Roman" w:eastAsia="仿宋_GB2312" w:cs="Times New Roman"/>
          <w:sz w:val="32"/>
          <w:szCs w:val="32"/>
          <w:lang w:val="en-US" w:eastAsia="zh-CN"/>
        </w:rPr>
        <w:t>示范点：本案在证据采信、数额核算、裁量权行使三个环节形成可复制经验：证据采信上，严格区分刑事侦查证据与行政执法证据标准，依法转化采信，提升办案效率；数额核算上，明确 “已售按售价、未售按进价” 的核算规则，依托完整凭证精准统计，避免数额认定偏差；裁量权行使上，结合违法情节、从轻情节、危害后果等因素，综合考量作出处罚，确保裁量合法合理。</w:t>
      </w:r>
    </w:p>
    <w:p w14:paraId="1B2318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易错点：同类出版物侵权案件易出现两大误区：一是忽视行刑衔接证据的行政化审核，直接照搬刑事侦查材料，未补全行政执法文书，导致程序违法；二是违法经营数额核算混淆，未区分已售、未售出版物计价标准，造成数额认定错误。本案通过规范审核流程、明确核算规则，有效规避上述问题。</w:t>
      </w:r>
    </w:p>
    <w:p w14:paraId="0B94A46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 法律效果和社会效果示范点</w:t>
      </w:r>
      <w:r>
        <w:rPr>
          <w:rFonts w:hint="eastAsia" w:ascii="Times New Roman" w:hAnsi="Times New Roman" w:eastAsia="仿宋_GB2312" w:cs="Times New Roman"/>
          <w:b/>
          <w:bCs/>
          <w:sz w:val="32"/>
          <w:szCs w:val="32"/>
          <w:lang w:val="en-US" w:eastAsia="zh-CN"/>
        </w:rPr>
        <w:t>。</w:t>
      </w:r>
      <w:r>
        <w:rPr>
          <w:rFonts w:hint="default" w:ascii="Times New Roman" w:hAnsi="Times New Roman" w:eastAsia="仿宋_GB2312" w:cs="Times New Roman"/>
          <w:sz w:val="32"/>
          <w:szCs w:val="32"/>
          <w:lang w:val="en-US" w:eastAsia="zh-CN"/>
        </w:rPr>
        <w:t>本案坚持严格执法与教育引导并重、打击违法与服务市场并行，实现良好法律效果与社会效果：</w:t>
      </w: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sz w:val="32"/>
          <w:szCs w:val="32"/>
          <w:lang w:val="en-US" w:eastAsia="zh-CN"/>
        </w:rPr>
        <w:t>彰显执法力度，守护知识产权</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通过依法查处侵权行为，没收侵权出版物、罚款处罚，严厉震慑文化市场盗版违法行为，切实维护著作权人合法权益，彰显</w:t>
      </w:r>
      <w:r>
        <w:rPr>
          <w:rFonts w:hint="eastAsia" w:ascii="Times New Roman" w:hAnsi="Times New Roman" w:eastAsia="仿宋_GB2312" w:cs="Times New Roman"/>
          <w:sz w:val="32"/>
          <w:szCs w:val="32"/>
          <w:lang w:val="en-US" w:eastAsia="zh-CN"/>
        </w:rPr>
        <w:t>著作权</w:t>
      </w:r>
      <w:r>
        <w:rPr>
          <w:rFonts w:hint="default" w:ascii="Times New Roman" w:hAnsi="Times New Roman" w:eastAsia="仿宋_GB2312" w:cs="Times New Roman"/>
          <w:sz w:val="32"/>
          <w:szCs w:val="32"/>
          <w:lang w:val="en-US" w:eastAsia="zh-CN"/>
        </w:rPr>
        <w:t>保护的坚定决心。</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传递执法温度，引导规范经营</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执法过程中，通过释法说理向当事人普及著作权保护法律法规，引导其主动整改、合法经营；同时，结合从轻处罚情节，兼顾处罚与教育，实现 “查处一案、教育一</w:t>
      </w:r>
      <w:r>
        <w:rPr>
          <w:rFonts w:hint="eastAsia" w:ascii="Times New Roman" w:hAnsi="Times New Roman" w:eastAsia="仿宋_GB2312" w:cs="Times New Roman"/>
          <w:sz w:val="32"/>
          <w:szCs w:val="32"/>
          <w:lang w:val="en-US" w:eastAsia="zh-CN"/>
        </w:rPr>
        <w:t>片</w:t>
      </w:r>
      <w:r>
        <w:rPr>
          <w:rFonts w:hint="default" w:ascii="Times New Roman" w:hAnsi="Times New Roman" w:eastAsia="仿宋_GB2312" w:cs="Times New Roman"/>
          <w:sz w:val="32"/>
          <w:szCs w:val="32"/>
          <w:lang w:val="en-US" w:eastAsia="zh-CN"/>
        </w:rPr>
        <w:t>” 的效果，提升</w:t>
      </w:r>
      <w:r>
        <w:rPr>
          <w:rFonts w:hint="eastAsia" w:ascii="Times New Roman" w:hAnsi="Times New Roman" w:eastAsia="仿宋_GB2312" w:cs="Times New Roman"/>
          <w:sz w:val="32"/>
          <w:szCs w:val="32"/>
          <w:lang w:val="en-US" w:eastAsia="zh-CN"/>
        </w:rPr>
        <w:t>了</w:t>
      </w:r>
      <w:r>
        <w:rPr>
          <w:rFonts w:hint="default" w:ascii="Times New Roman" w:hAnsi="Times New Roman" w:eastAsia="仿宋_GB2312" w:cs="Times New Roman"/>
          <w:sz w:val="32"/>
          <w:szCs w:val="32"/>
          <w:lang w:val="en-US" w:eastAsia="zh-CN"/>
        </w:rPr>
        <w:t>市场主体守法意识。</w:t>
      </w:r>
      <w:r>
        <w:rPr>
          <w:rFonts w:hint="default"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净化市场环境，助力治理提升</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本案的办理进一步规范辖区出版物市场经营秩序，引导文体经营商户自觉抵制盗版出版物，守护青少年阅读安全；同时，为同类行刑衔接侵权案件办理提供参考，推动形成 “监管协同、执法规范、市场有序” 的文化市场治理格局。</w:t>
      </w:r>
    </w:p>
    <w:p w14:paraId="64199C5D">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22134"/>
    <w:rsid w:val="0F671299"/>
    <w:rsid w:val="4BB22134"/>
    <w:rsid w:val="4EB923B7"/>
    <w:rsid w:val="50E04DE9"/>
    <w:rsid w:val="56A0184D"/>
    <w:rsid w:val="5C111786"/>
    <w:rsid w:val="6F282B2F"/>
    <w:rsid w:val="75916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89b57722-06f2-48bf-8e7e-3a7fd26e072f</errorID>
      <errorWord>，</errorWord>
      <group>L1_Grammar</group>
      <groupName>语法问题</groupName>
      <ability>L2_Grammar</ability>
      <abilityName>语法错误</abilityName>
      <candidateList>
        <item>的案件，</item>
      </candidateList>
      <explain/>
      <paraID>47ADEE29</paraID>
      <start>73</start>
      <end>74</end>
      <status>unmodified</status>
      <modifiedWord/>
      <trackRevisions>false</trackRevisions>
    </reviewItem>
    <reviewItem>
      <errorID>a662d99b-8807-4f60-a0f8-9fed7ec0b8d3</errorID>
      <errorWord>鉴定结论</errorWord>
      <group>L1_Word</group>
      <groupName>字词问题</groupName>
      <ability>L2_Typo</ability>
      <abilityName>字词错误</abilityName>
      <candidateList>
        <item>的鉴定结论</item>
      </candidateList>
      <explain/>
      <paraID>5C2F6215</paraID>
      <start>58</start>
      <end>63</end>
      <status>modified</status>
      <modifiedWord>的鉴定结论</modifiedWord>
      <trackRevisions>false</trackRevisions>
    </reviewItem>
    <reviewItem>
      <errorID>b56db3ae-2082-44e8-977d-2d67cbbdbb6c</errorID>
      <errorWord>，</errorWord>
      <group>L1_Punc</group>
      <groupName>标点问题</groupName>
      <ability>L2_Punc</ability>
      <abilityName>标点符号检查</abilityName>
      <candidateList>
        <item>。</item>
      </candidateList>
      <explain/>
      <paraID>5C2F6215</paraID>
      <start>231</start>
      <end>232</end>
      <status>unmodified</status>
      <modifiedWord/>
      <trackRevisions>false</trackRevisions>
    </reviewItem>
    <reviewItem>
      <errorID>3088f88a-6b5e-495e-9b22-c7f535a635f2</errorID>
      <errorWord>提供近</errorWord>
      <group>L1_Word</group>
      <groupName>字词问题</groupName>
      <ability>L2_Typo</ability>
      <abilityName>字词错误</abilityName>
      <candidateList>
        <item>提供</item>
      </candidateList>
      <explain/>
      <paraID>5C2F6215</paraID>
      <start>243</start>
      <end>245</end>
      <status>modified</status>
      <modifiedWord>提供</modifiedWord>
      <trackRevisions>false</trackRevisions>
    </reviewItem>
    <reviewItem>
      <errorID>7fb8fa5d-e9fc-44e1-9890-b0b7839cf493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5C2F6215</paraID>
      <start>282</start>
      <end>283</end>
      <status>modified</status>
      <modifiedWord>—</modifiedWord>
      <trackRevisions>false</trackRevisions>
    </reviewItem>
    <reviewItem>
      <errorID>07e34bed-478d-4163-985d-23e9238e4aba</errorID>
      <errorWord>点</errorWord>
      <group>L1_Word</group>
      <groupName>字词问题</groupName>
      <ability>L2_Typo</ability>
      <abilityName>字词错误</abilityName>
      <candidateList>
        <item>点和</item>
      </candidateList>
      <explain/>
      <paraID>6A5BD725</paraID>
      <start>15</start>
      <end>16</end>
      <status>unmodified</status>
      <modifiedWord/>
      <trackRevisions>false</trackRevisions>
    </reviewItem>
    <reviewItem>
      <errorID>b99e0d67-c3ad-4a93-adef-773d697dd772</errorID>
      <errorWord>以下</errorWord>
      <group>L1_Word</group>
      <groupName>字词问题</groupName>
      <ability>L2_Typo</ability>
      <abilityName>字词错误</abilityName>
      <candidateList>
        <item>在以下</item>
      </candidateList>
      <explain/>
      <paraID>6A5BD725</paraID>
      <start>20</start>
      <end>23</end>
      <status>modified</status>
      <modifiedWord>在以下</modifiedWord>
      <trackRevisions>false</trackRevisions>
    </reviewItem>
    <reviewItem>
      <errorID>aa6e3b00-b923-49a4-a9c9-e0ae4575989f</errorID>
      <errorWord>赠与</errorWord>
      <group>L1_Word</group>
      <groupName>字词问题</groupName>
      <ability>L2_Alias</ability>
      <abilityName>也作/曾用词</abilityName>
      <candidateList>
        <item>赠予</item>
      </candidateList>
      <explain>词汇[赠与]为不规范表述或旧称，其规范书面表述为[赠予]。</explain>
      <paraID>3ADA5B91</paraID>
      <start>76</start>
      <end>78</end>
      <status>modified</status>
      <modifiedWord>赠予</modifiedWord>
      <trackRevisions>false</trackRevisions>
    </reviewItem>
    <reviewItem>
      <errorID>50e56e98-d2bb-47bf-be10-110b13eefa9b</errorID>
      <errorWord>著作权法</errorWord>
      <group>L1_Knowledge</group>
      <groupName>知识性问题</groupName>
      <ability>L2_Knowledge</ability>
      <abilityName>其他知识</abilityName>
      <candidateList>
        <item>中华人民共和国著作权法</item>
      </candidateList>
      <explain>当前法律法规名称使用简称，请注意是否应当使用全称。</explain>
      <paraID>6403E639</paraID>
      <start>31</start>
      <end>42</end>
      <status>modified</status>
      <modifiedWord>中华人民共和国著作权法</modifiedWord>
      <trackRevisions>false</trackRevisions>
    </reviewItem>
    <reviewItem>
      <errorID>354c8b3e-467f-4651-8f67-d3fb9d901c39</errorID>
      <errorWord>《行政处罚法》</errorWord>
      <group>L1_Word</group>
      <groupName>字词问题</groupName>
      <ability>L2_Typo</ability>
      <abilityName>字词错误</abilityName>
      <candidateList>
        <item>《中华人民共和国行政处罚法》</item>
      </candidateList>
      <explain/>
      <paraID>6403E639</paraID>
      <start>95</start>
      <end>109</end>
      <status>modified</status>
      <modifiedWord>《中华人民共和国行政处罚法》</modifiedWord>
      <trackRevisions>false</trackRevisions>
    </reviewItem>
    <reviewItem>
      <errorID>cd2868bd-321c-4a8c-93ea-b2f96dfe933f</errorID>
      <errorWord>著作权法</errorWord>
      <group>L1_Knowledge</group>
      <groupName>知识性问题</groupName>
      <ability>L2_Knowledge</ability>
      <abilityName>其他知识</abilityName>
      <candidateList>
        <item>中华人民共和国著作权法</item>
      </candidateList>
      <explain>当前法律法规名称使用简称，请注意是否应当使用全称。</explain>
      <paraID>15BD5E77</paraID>
      <start>67</start>
      <end>78</end>
      <status>modified</status>
      <modifiedWord>中华人民共和国著作权法</modifiedWord>
      <trackRevisions>false</trackRevisions>
    </reviewItem>
    <reviewItem>
      <errorID>582fd301-cbd6-4035-9db2-8cfa0308b846</errorID>
      <errorWord>《行政处罚法》</errorWord>
      <group>L1_Word</group>
      <groupName>字词问题</groupName>
      <ability>L2_Typo</ability>
      <abilityName>字词错误</abilityName>
      <candidateList>
        <item>《中华人民共和国行政处罚法》</item>
      </candidateList>
      <explain/>
      <paraID>15BD5E77</paraID>
      <start>79</start>
      <end>93</end>
      <status>modified</status>
      <modifiedWord>《中华人民共和国行政处罚法》</modifiedWord>
      <trackRevisions>false</trackRevisions>
    </reviewItem>
    <reviewItem>
      <errorID>534a47d5-e82d-4e2e-8696-c21983c3e253</errorID>
      <errorWord>陈诉</errorWord>
      <group>L1_Word</group>
      <groupName>字词问题</groupName>
      <ability>L2_Typo</ability>
      <abilityName>字词错误</abilityName>
      <candidateList>
        <item>陈述</item>
      </candidateList>
      <explain/>
      <paraID>15BD5E77</paraID>
      <start>154</start>
      <end>156</end>
      <status>modified</status>
      <modifiedWord>陈述</modifiedWord>
      <trackRevisions>false</trackRevisions>
    </reviewItem>
    <reviewItem>
      <errorID>fb549260-a17b-4ed5-9c40-585460233f5e</errorID>
      <errorWord>示范点</errorWord>
      <group>L1_Word</group>
      <groupName>字词问题</groupName>
      <ability>L2_Typo</ability>
      <abilityName>字词错误</abilityName>
      <candidateList>
        <item>示范案例</item>
      </candidateList>
      <explain/>
      <paraID> B94A469</paraID>
      <start>12</start>
      <end>15</end>
      <status>unmodified</status>
      <modifiedWord/>
      <trackRevisions>false</trackRevisions>
    </reviewItem>
  </reviewItems>
  <config/>
</contractReview>
</file>

<file path=customXml/itemProps1.xml><?xml version="1.0" encoding="utf-8"?>
<ds:datastoreItem xmlns:ds="http://schemas.openxmlformats.org/officeDocument/2006/customXml" ds:itemID="{af7eec1c-0753-4ac1-88e5-14bf4c11175b}">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2816</Words>
  <Characters>2885</Characters>
  <Lines>0</Lines>
  <Paragraphs>0</Paragraphs>
  <TotalTime>12</TotalTime>
  <ScaleCrop>false</ScaleCrop>
  <LinksUpToDate>false</LinksUpToDate>
  <CharactersWithSpaces>2910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2026-03-23T11:55:00Z</dcterms:created>
  <dc:creator>HUAWEI</dc:creator>
  <cp:lastModifiedBy>Administrator</cp:lastModifiedBy>
  <dcterms:modified xsi:type="dcterms:W3CDTF">2026-03-25T08:00:02Z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E3A767B6C79646EC99FF11959C6E3F1C_11</vt:lpwstr>
  </property>
  <property fmtid="{D5CDD505-2E9C-101B-9397-08002B2CF9AE}" pid="4" name="KSOTemplateDocerSaveRecord">
    <vt:lpwstr>eyJoZGlkIjoiNTM1MzE4YmIzOGZjYTViY2U4OTk2YWY5ZmYzMmQ1NGEiLCJ1c2VySWQiOiIyMTI0MDczNjEifQ==</vt:lpwstr>
  </property>
</Properties>
</file>