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0847D9">
      <w:pPr>
        <w:keepNext w:val="0"/>
        <w:keepLines w:val="0"/>
        <w:pageBreakBefore w:val="0"/>
        <w:widowControl/>
        <w:suppressLineNumbers w:val="0"/>
        <w:kinsoku/>
        <w:wordWrap/>
        <w:overflowPunct/>
        <w:topLinePunct w:val="0"/>
        <w:autoSpaceDE/>
        <w:autoSpaceDN/>
        <w:bidi w:val="0"/>
        <w:adjustRightInd/>
        <w:snapToGrid/>
        <w:spacing w:line="560" w:lineRule="exact"/>
        <w:ind w:right="0" w:rightChars="0"/>
        <w:jc w:val="center"/>
        <w:textAlignment w:val="auto"/>
        <w:rPr>
          <w:rFonts w:hint="eastAsia" w:ascii="方正小标宋简体" w:hAnsi="方正小标宋简体" w:eastAsia="方正小标宋简体" w:cs="方正小标宋简体"/>
          <w:i w:val="0"/>
          <w:iCs w:val="0"/>
          <w:caps w:val="0"/>
          <w:color w:val="333333"/>
          <w:spacing w:val="0"/>
          <w:kern w:val="0"/>
          <w:sz w:val="44"/>
          <w:szCs w:val="44"/>
          <w:shd w:val="clear" w:color="auto" w:fill="FFFFFF"/>
          <w:lang w:val="en-US" w:eastAsia="zh-CN" w:bidi="ar"/>
        </w:rPr>
      </w:pPr>
      <w:bookmarkStart w:id="9" w:name="_GoBack"/>
      <w:bookmarkEnd w:id="9"/>
      <w:r>
        <w:rPr>
          <w:rFonts w:hint="eastAsia" w:ascii="方正小标宋简体" w:hAnsi="方正小标宋简体" w:eastAsia="方正小标宋简体" w:cs="方正小标宋简体"/>
          <w:i w:val="0"/>
          <w:iCs w:val="0"/>
          <w:caps w:val="0"/>
          <w:color w:val="333333"/>
          <w:spacing w:val="0"/>
          <w:kern w:val="0"/>
          <w:sz w:val="44"/>
          <w:szCs w:val="44"/>
          <w:shd w:val="clear" w:color="auto" w:fill="FFFFFF"/>
          <w:lang w:val="en-US" w:eastAsia="zh-CN" w:bidi="ar"/>
        </w:rPr>
        <w:t>赣州市医疗保障局关于修订《赣州市医疗保障领域包容免罚清单》的通知</w:t>
      </w:r>
    </w:p>
    <w:p w14:paraId="21075AD9">
      <w:pPr>
        <w:keepNext w:val="0"/>
        <w:keepLines w:val="0"/>
        <w:pageBreakBefore w:val="0"/>
        <w:widowControl/>
        <w:suppressLineNumbers w:val="0"/>
        <w:kinsoku/>
        <w:wordWrap/>
        <w:overflowPunct/>
        <w:topLinePunct w:val="0"/>
        <w:autoSpaceDE/>
        <w:autoSpaceDN/>
        <w:bidi w:val="0"/>
        <w:adjustRightInd/>
        <w:snapToGrid/>
        <w:spacing w:line="560" w:lineRule="exact"/>
        <w:ind w:right="0" w:rightChars="0"/>
        <w:jc w:val="center"/>
        <w:textAlignment w:val="auto"/>
        <w:rPr>
          <w:rFonts w:hint="eastAsia" w:ascii="楷体_GB2312" w:hAnsi="楷体_GB2312" w:eastAsia="楷体_GB2312" w:cs="楷体_GB2312"/>
          <w:b/>
          <w:bCs/>
          <w:i w:val="0"/>
          <w:iCs w:val="0"/>
          <w:caps w:val="0"/>
          <w:color w:val="333333"/>
          <w:spacing w:val="0"/>
          <w:kern w:val="0"/>
          <w:sz w:val="32"/>
          <w:szCs w:val="32"/>
          <w:shd w:val="clear" w:color="auto" w:fill="FFFFFF"/>
          <w:lang w:val="en-US" w:eastAsia="zh-CN" w:bidi="ar"/>
        </w:rPr>
      </w:pPr>
      <w:r>
        <w:rPr>
          <w:rFonts w:hint="eastAsia" w:ascii="楷体_GB2312" w:hAnsi="楷体_GB2312" w:eastAsia="楷体_GB2312" w:cs="楷体_GB2312"/>
          <w:b/>
          <w:bCs/>
          <w:i w:val="0"/>
          <w:iCs w:val="0"/>
          <w:caps w:val="0"/>
          <w:color w:val="333333"/>
          <w:spacing w:val="0"/>
          <w:kern w:val="0"/>
          <w:sz w:val="32"/>
          <w:szCs w:val="32"/>
          <w:shd w:val="clear" w:color="auto" w:fill="FFFFFF"/>
          <w:lang w:val="en-US" w:eastAsia="zh-CN" w:bidi="ar"/>
        </w:rPr>
        <w:t>（征求意见稿）</w:t>
      </w:r>
    </w:p>
    <w:p w14:paraId="2336627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rightChars="0" w:firstLine="0"/>
        <w:jc w:val="both"/>
        <w:textAlignment w:val="auto"/>
        <w:rPr>
          <w:rFonts w:hint="eastAsia" w:ascii="仿宋_GB2312" w:hAnsi="仿宋_GB2312" w:eastAsia="仿宋_GB2312" w:cs="仿宋_GB2312"/>
          <w:i w:val="0"/>
          <w:caps w:val="0"/>
          <w:color w:val="auto"/>
          <w:spacing w:val="0"/>
          <w:sz w:val="36"/>
          <w:szCs w:val="36"/>
          <w:shd w:val="clear" w:color="auto" w:fill="FFFFFF"/>
          <w:lang w:eastAsia="zh-CN"/>
        </w:rPr>
      </w:pPr>
    </w:p>
    <w:p w14:paraId="3988E69A">
      <w:pPr>
        <w:keepNext w:val="0"/>
        <w:keepLines w:val="0"/>
        <w:pageBreakBefore w:val="0"/>
        <w:widowControl/>
        <w:suppressLineNumbers w:val="0"/>
        <w:kinsoku/>
        <w:wordWrap/>
        <w:overflowPunct/>
        <w:topLinePunct w:val="0"/>
        <w:autoSpaceDE/>
        <w:autoSpaceDN/>
        <w:bidi w:val="0"/>
        <w:adjustRightInd/>
        <w:snapToGrid/>
        <w:spacing w:line="560" w:lineRule="exact"/>
        <w:ind w:right="0" w:rightChars="0" w:firstLine="640" w:firstLineChars="200"/>
        <w:jc w:val="left"/>
        <w:textAlignment w:val="auto"/>
        <w:rPr>
          <w:rFonts w:hint="eastAsia" w:ascii="仿宋_GB2312" w:hAnsi="仿宋_GB2312" w:eastAsia="仿宋_GB2312" w:cs="仿宋_GB2312"/>
          <w:i w:val="0"/>
          <w:caps w:val="0"/>
          <w:color w:val="auto"/>
          <w:spacing w:val="0"/>
          <w:sz w:val="32"/>
          <w:szCs w:val="32"/>
        </w:rPr>
      </w:pPr>
      <w:r>
        <w:rPr>
          <w:rFonts w:hint="eastAsia" w:ascii="仿宋_GB2312" w:hAnsi="仿宋_GB2312" w:eastAsia="仿宋_GB2312" w:cs="仿宋_GB2312"/>
          <w:i w:val="0"/>
          <w:caps w:val="0"/>
          <w:color w:val="auto"/>
          <w:spacing w:val="0"/>
          <w:sz w:val="32"/>
          <w:szCs w:val="32"/>
          <w:shd w:val="clear" w:color="auto" w:fill="FFFFFF"/>
        </w:rPr>
        <w:t>为</w:t>
      </w:r>
      <w:r>
        <w:rPr>
          <w:rFonts w:hint="eastAsia" w:ascii="仿宋_GB2312" w:hAnsi="仿宋_GB2312" w:eastAsia="仿宋_GB2312" w:cs="仿宋_GB2312"/>
          <w:i w:val="0"/>
          <w:caps w:val="0"/>
          <w:color w:val="auto"/>
          <w:spacing w:val="0"/>
          <w:sz w:val="32"/>
          <w:szCs w:val="32"/>
          <w:shd w:val="clear" w:color="auto" w:fill="FFFFFF"/>
          <w:lang w:eastAsia="zh-CN"/>
        </w:rPr>
        <w:t>落实《国务院关于进一步规范和监督罚款设定与实施的指导意见》精神，</w:t>
      </w:r>
      <w:r>
        <w:rPr>
          <w:rFonts w:hint="eastAsia" w:ascii="仿宋_GB2312" w:hAnsi="仿宋_GB2312" w:eastAsia="仿宋_GB2312" w:cs="仿宋_GB2312"/>
          <w:i w:val="0"/>
          <w:caps w:val="0"/>
          <w:color w:val="auto"/>
          <w:spacing w:val="0"/>
          <w:sz w:val="32"/>
          <w:szCs w:val="32"/>
          <w:shd w:val="clear" w:color="auto" w:fill="FFFFFF"/>
        </w:rPr>
        <w:t>科学适用过罚相当原则</w:t>
      </w:r>
      <w:r>
        <w:rPr>
          <w:rFonts w:hint="eastAsia" w:ascii="仿宋_GB2312" w:hAnsi="仿宋_GB2312" w:eastAsia="仿宋_GB2312" w:cs="仿宋_GB2312"/>
          <w:i w:val="0"/>
          <w:caps w:val="0"/>
          <w:color w:val="auto"/>
          <w:spacing w:val="0"/>
          <w:sz w:val="32"/>
          <w:szCs w:val="32"/>
          <w:shd w:val="clear" w:color="auto" w:fill="FFFFFF"/>
          <w:lang w:eastAsia="zh-CN"/>
        </w:rPr>
        <w:t>，</w:t>
      </w:r>
      <w:r>
        <w:rPr>
          <w:rFonts w:hint="eastAsia" w:ascii="仿宋_GB2312" w:hAnsi="仿宋_GB2312" w:eastAsia="仿宋_GB2312" w:cs="仿宋_GB2312"/>
          <w:i w:val="0"/>
          <w:caps w:val="0"/>
          <w:color w:val="auto"/>
          <w:spacing w:val="0"/>
          <w:sz w:val="32"/>
          <w:szCs w:val="32"/>
          <w:shd w:val="clear" w:color="auto" w:fill="FFFFFF"/>
        </w:rPr>
        <w:t>推进包容审慎监管，发挥法治引领和保障作用，加快打造市场化、法治化营商环境，根据《中华人民共和国行政处罚法》</w:t>
      </w:r>
      <w:r>
        <w:rPr>
          <w:rFonts w:hint="eastAsia" w:ascii="仿宋_GB2312" w:hAnsi="仿宋_GB2312" w:eastAsia="仿宋_GB2312" w:cs="仿宋_GB2312"/>
          <w:i w:val="0"/>
          <w:caps w:val="0"/>
          <w:color w:val="auto"/>
          <w:spacing w:val="0"/>
          <w:sz w:val="32"/>
          <w:szCs w:val="32"/>
          <w:shd w:val="clear" w:color="auto" w:fill="FFFFFF"/>
          <w:lang w:eastAsia="zh-CN"/>
        </w:rPr>
        <w:t>《中华人民共和国社会保险法》</w:t>
      </w:r>
      <w:r>
        <w:rPr>
          <w:rFonts w:hint="eastAsia" w:ascii="仿宋_GB2312" w:hAnsi="仿宋_GB2312" w:eastAsia="仿宋_GB2312" w:cs="仿宋_GB2312"/>
          <w:i w:val="0"/>
          <w:caps w:val="0"/>
          <w:color w:val="auto"/>
          <w:spacing w:val="0"/>
          <w:sz w:val="32"/>
          <w:szCs w:val="32"/>
          <w:shd w:val="clear" w:color="auto" w:fill="FFFFFF"/>
        </w:rPr>
        <w:t>《医疗保障基金使用监督管理条例》《国务院办公厅关于进一步规范行政裁量权基准制定和管理工作的意见》</w:t>
      </w:r>
      <w:r>
        <w:rPr>
          <w:rFonts w:hint="eastAsia" w:ascii="仿宋_GB2312" w:hAnsi="仿宋_GB2312" w:eastAsia="仿宋_GB2312" w:cs="仿宋_GB2312"/>
          <w:i w:val="0"/>
          <w:caps w:val="0"/>
          <w:color w:val="auto"/>
          <w:spacing w:val="0"/>
          <w:sz w:val="32"/>
          <w:szCs w:val="32"/>
          <w:shd w:val="clear" w:color="auto" w:fill="FFFFFF"/>
          <w:lang w:val="en-US" w:eastAsia="zh-CN"/>
        </w:rPr>
        <w:t>《国家医疗保障局关于印发〈规范医疗保障基金使用监督管理行政处罚裁量权办法〉的通知》以及《江西省优化营商环境条例》等相</w:t>
      </w:r>
      <w:r>
        <w:rPr>
          <w:rFonts w:hint="eastAsia" w:ascii="仿宋_GB2312" w:hAnsi="仿宋_GB2312" w:eastAsia="仿宋_GB2312" w:cs="仿宋_GB2312"/>
          <w:i w:val="0"/>
          <w:caps w:val="0"/>
          <w:color w:val="auto"/>
          <w:spacing w:val="0"/>
          <w:sz w:val="32"/>
          <w:szCs w:val="32"/>
          <w:shd w:val="clear" w:color="auto" w:fill="FFFFFF"/>
        </w:rPr>
        <w:t>关</w:t>
      </w:r>
      <w:r>
        <w:rPr>
          <w:rFonts w:hint="eastAsia" w:ascii="仿宋_GB2312" w:hAnsi="仿宋_GB2312" w:eastAsia="仿宋_GB2312" w:cs="仿宋_GB2312"/>
          <w:i w:val="0"/>
          <w:caps w:val="0"/>
          <w:color w:val="auto"/>
          <w:spacing w:val="0"/>
          <w:sz w:val="32"/>
          <w:szCs w:val="32"/>
          <w:shd w:val="clear" w:color="auto" w:fill="FFFFFF"/>
          <w:lang w:eastAsia="zh-CN"/>
        </w:rPr>
        <w:t>法律法规</w:t>
      </w:r>
      <w:r>
        <w:rPr>
          <w:rFonts w:hint="eastAsia" w:ascii="仿宋_GB2312" w:hAnsi="仿宋_GB2312" w:eastAsia="仿宋_GB2312" w:cs="仿宋_GB2312"/>
          <w:i w:val="0"/>
          <w:caps w:val="0"/>
          <w:color w:val="auto"/>
          <w:spacing w:val="0"/>
          <w:sz w:val="32"/>
          <w:szCs w:val="32"/>
          <w:shd w:val="clear" w:color="auto" w:fill="FFFFFF"/>
          <w:lang w:val="en-US" w:eastAsia="zh-CN"/>
        </w:rPr>
        <w:t>和规范性文件</w:t>
      </w:r>
      <w:r>
        <w:rPr>
          <w:rFonts w:hint="eastAsia" w:ascii="仿宋_GB2312" w:hAnsi="仿宋_GB2312" w:eastAsia="仿宋_GB2312" w:cs="仿宋_GB2312"/>
          <w:i w:val="0"/>
          <w:caps w:val="0"/>
          <w:color w:val="auto"/>
          <w:spacing w:val="0"/>
          <w:sz w:val="32"/>
          <w:szCs w:val="32"/>
          <w:shd w:val="clear" w:color="auto" w:fill="FFFFFF"/>
        </w:rPr>
        <w:t>，</w:t>
      </w:r>
      <w:r>
        <w:rPr>
          <w:rFonts w:hint="eastAsia" w:ascii="仿宋_GB2312" w:hAnsi="仿宋_GB2312" w:eastAsia="仿宋_GB2312" w:cs="仿宋_GB2312"/>
          <w:i w:val="0"/>
          <w:caps w:val="0"/>
          <w:color w:val="auto"/>
          <w:spacing w:val="0"/>
          <w:sz w:val="32"/>
          <w:szCs w:val="32"/>
          <w:shd w:val="clear" w:color="auto" w:fill="FFFFFF"/>
          <w:lang w:eastAsia="zh-CN"/>
        </w:rPr>
        <w:t>对</w:t>
      </w:r>
      <w:r>
        <w:rPr>
          <w:rFonts w:hint="eastAsia" w:ascii="仿宋_GB2312" w:hAnsi="仿宋_GB2312" w:eastAsia="仿宋_GB2312" w:cs="仿宋_GB2312"/>
          <w:i w:val="0"/>
          <w:caps w:val="0"/>
          <w:color w:val="auto"/>
          <w:spacing w:val="0"/>
          <w:sz w:val="32"/>
          <w:szCs w:val="32"/>
          <w:shd w:val="clear" w:color="auto" w:fill="FFFFFF"/>
        </w:rPr>
        <w:t>《</w:t>
      </w:r>
      <w:r>
        <w:rPr>
          <w:rFonts w:hint="eastAsia" w:ascii="仿宋_GB2312" w:hAnsi="仿宋_GB2312" w:eastAsia="仿宋_GB2312" w:cs="仿宋_GB2312"/>
          <w:i w:val="0"/>
          <w:caps w:val="0"/>
          <w:color w:val="auto"/>
          <w:spacing w:val="0"/>
          <w:sz w:val="32"/>
          <w:szCs w:val="32"/>
          <w:shd w:val="clear" w:color="auto" w:fill="FFFFFF"/>
          <w:lang w:eastAsia="zh-CN"/>
        </w:rPr>
        <w:t>赣州市</w:t>
      </w:r>
      <w:r>
        <w:rPr>
          <w:rFonts w:hint="eastAsia" w:ascii="仿宋_GB2312" w:hAnsi="仿宋_GB2312" w:eastAsia="仿宋_GB2312" w:cs="仿宋_GB2312"/>
          <w:i w:val="0"/>
          <w:caps w:val="0"/>
          <w:color w:val="auto"/>
          <w:spacing w:val="0"/>
          <w:sz w:val="32"/>
          <w:szCs w:val="32"/>
          <w:shd w:val="clear" w:color="auto" w:fill="FFFFFF"/>
        </w:rPr>
        <w:t>医疗保障领域包容免罚清单》（以下简称《包容免罚清单》）</w:t>
      </w:r>
      <w:r>
        <w:rPr>
          <w:rFonts w:hint="eastAsia" w:ascii="仿宋_GB2312" w:hAnsi="仿宋_GB2312" w:eastAsia="仿宋_GB2312" w:cs="仿宋_GB2312"/>
          <w:i w:val="0"/>
          <w:caps w:val="0"/>
          <w:color w:val="auto"/>
          <w:spacing w:val="0"/>
          <w:sz w:val="32"/>
          <w:szCs w:val="32"/>
          <w:shd w:val="clear" w:color="auto" w:fill="FFFFFF"/>
          <w:lang w:eastAsia="zh-CN"/>
        </w:rPr>
        <w:t>进行了修订</w:t>
      </w:r>
      <w:r>
        <w:rPr>
          <w:rFonts w:hint="eastAsia" w:ascii="仿宋_GB2312" w:hAnsi="仿宋_GB2312" w:eastAsia="仿宋_GB2312" w:cs="仿宋_GB2312"/>
          <w:i w:val="0"/>
          <w:caps w:val="0"/>
          <w:color w:val="auto"/>
          <w:spacing w:val="0"/>
          <w:sz w:val="32"/>
          <w:szCs w:val="32"/>
          <w:shd w:val="clear" w:color="auto" w:fill="FFFFFF"/>
        </w:rPr>
        <w:t>，现</w:t>
      </w:r>
      <w:r>
        <w:rPr>
          <w:rFonts w:hint="eastAsia" w:ascii="仿宋_GB2312" w:hAnsi="仿宋_GB2312" w:eastAsia="仿宋_GB2312" w:cs="仿宋_GB2312"/>
          <w:i w:val="0"/>
          <w:caps w:val="0"/>
          <w:color w:val="auto"/>
          <w:spacing w:val="0"/>
          <w:sz w:val="32"/>
          <w:szCs w:val="32"/>
          <w:shd w:val="clear" w:color="auto" w:fill="FFFFFF"/>
          <w:lang w:eastAsia="zh-CN"/>
        </w:rPr>
        <w:t>将修订后的</w:t>
      </w:r>
      <w:r>
        <w:rPr>
          <w:rFonts w:hint="eastAsia" w:ascii="仿宋_GB2312" w:hAnsi="仿宋_GB2312" w:eastAsia="仿宋_GB2312" w:cs="仿宋_GB2312"/>
          <w:i w:val="0"/>
          <w:caps w:val="0"/>
          <w:color w:val="auto"/>
          <w:spacing w:val="0"/>
          <w:sz w:val="32"/>
          <w:szCs w:val="32"/>
          <w:shd w:val="clear" w:color="auto" w:fill="FFFFFF"/>
        </w:rPr>
        <w:t>《包容免罚清单》印发你们，请遵照执行，并就有关事项通知如下：</w:t>
      </w:r>
    </w:p>
    <w:p w14:paraId="2C41E1D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rightChars="0" w:firstLine="640" w:firstLineChars="200"/>
        <w:jc w:val="both"/>
        <w:textAlignment w:val="auto"/>
        <w:rPr>
          <w:rFonts w:hint="eastAsia" w:ascii="黑体" w:hAnsi="黑体" w:eastAsia="黑体" w:cs="黑体"/>
          <w:i w:val="0"/>
          <w:caps w:val="0"/>
          <w:color w:val="auto"/>
          <w:spacing w:val="0"/>
          <w:sz w:val="32"/>
          <w:szCs w:val="32"/>
          <w:shd w:val="clear" w:color="auto" w:fill="FFFFFF"/>
          <w:lang w:eastAsia="zh-CN"/>
        </w:rPr>
      </w:pPr>
      <w:r>
        <w:rPr>
          <w:rFonts w:hint="eastAsia" w:ascii="黑体" w:hAnsi="黑体" w:eastAsia="黑体" w:cs="黑体"/>
          <w:i w:val="0"/>
          <w:caps w:val="0"/>
          <w:color w:val="auto"/>
          <w:spacing w:val="0"/>
          <w:sz w:val="32"/>
          <w:szCs w:val="32"/>
          <w:shd w:val="clear" w:color="auto" w:fill="FFFFFF"/>
          <w:lang w:eastAsia="zh-CN"/>
        </w:rPr>
        <w:t>一、基本原则</w:t>
      </w:r>
    </w:p>
    <w:p w14:paraId="0C48F3F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rightChars="0" w:firstLine="640" w:firstLineChars="200"/>
        <w:jc w:val="both"/>
        <w:textAlignment w:val="auto"/>
        <w:rPr>
          <w:rFonts w:hint="eastAsia" w:ascii="仿宋_GB2312" w:hAnsi="仿宋_GB2312" w:eastAsia="仿宋_GB2312" w:cs="仿宋_GB2312"/>
          <w:i w:val="0"/>
          <w:caps w:val="0"/>
          <w:color w:val="auto"/>
          <w:spacing w:val="0"/>
          <w:sz w:val="32"/>
          <w:szCs w:val="32"/>
          <w:shd w:val="clear" w:color="auto" w:fill="FFFFFF"/>
          <w:lang w:eastAsia="zh-CN"/>
        </w:rPr>
      </w:pPr>
      <w:r>
        <w:rPr>
          <w:rFonts w:hint="eastAsia" w:ascii="仿宋_GB2312" w:hAnsi="仿宋_GB2312" w:eastAsia="仿宋_GB2312" w:cs="仿宋_GB2312"/>
          <w:i w:val="0"/>
          <w:caps w:val="0"/>
          <w:color w:val="auto"/>
          <w:spacing w:val="0"/>
          <w:sz w:val="32"/>
          <w:szCs w:val="32"/>
          <w:shd w:val="clear" w:color="auto" w:fill="FFFFFF"/>
          <w:lang w:eastAsia="zh-CN"/>
        </w:rPr>
        <w:t>行使医疗保障行政处罚裁量权应严格遵循处罚法定、过罚相当、公平公正、宽严相济、处罚和教育相结合、程序正当的原则，坚持严格执法与包容审慎并重的监管方式，做到事实清楚、证据确凿、处罚得当。</w:t>
      </w:r>
    </w:p>
    <w:p w14:paraId="5756DCD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rightChars="0" w:firstLine="640" w:firstLineChars="200"/>
        <w:jc w:val="both"/>
        <w:textAlignment w:val="auto"/>
        <w:rPr>
          <w:rFonts w:hint="eastAsia" w:ascii="黑体" w:hAnsi="黑体" w:eastAsia="黑体" w:cs="黑体"/>
          <w:i w:val="0"/>
          <w:caps w:val="0"/>
          <w:color w:val="auto"/>
          <w:spacing w:val="0"/>
          <w:sz w:val="32"/>
          <w:szCs w:val="32"/>
          <w:shd w:val="clear" w:color="auto" w:fill="FFFFFF"/>
          <w:lang w:eastAsia="zh-CN"/>
        </w:rPr>
      </w:pPr>
      <w:r>
        <w:rPr>
          <w:rFonts w:hint="eastAsia" w:ascii="黑体" w:hAnsi="黑体" w:eastAsia="黑体" w:cs="黑体"/>
          <w:i w:val="0"/>
          <w:caps w:val="0"/>
          <w:color w:val="auto"/>
          <w:spacing w:val="0"/>
          <w:sz w:val="32"/>
          <w:szCs w:val="32"/>
          <w:shd w:val="clear" w:color="auto" w:fill="FFFFFF"/>
          <w:lang w:eastAsia="zh-CN"/>
        </w:rPr>
        <w:t>二、适用标准</w:t>
      </w:r>
    </w:p>
    <w:p w14:paraId="4AE5298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rightChars="0" w:firstLine="643" w:firstLineChars="200"/>
        <w:jc w:val="both"/>
        <w:textAlignment w:val="auto"/>
        <w:rPr>
          <w:rFonts w:hint="eastAsia" w:ascii="楷体_GB2312" w:hAnsi="楷体_GB2312" w:eastAsia="楷体_GB2312" w:cs="楷体_GB2312"/>
          <w:b/>
          <w:bCs/>
          <w:i w:val="0"/>
          <w:caps w:val="0"/>
          <w:color w:val="auto"/>
          <w:spacing w:val="0"/>
          <w:sz w:val="32"/>
          <w:szCs w:val="32"/>
          <w:shd w:val="clear" w:color="auto" w:fill="FFFFFF"/>
          <w:lang w:eastAsia="zh-CN"/>
        </w:rPr>
      </w:pPr>
      <w:r>
        <w:rPr>
          <w:rFonts w:hint="eastAsia" w:ascii="楷体_GB2312" w:hAnsi="楷体_GB2312" w:eastAsia="楷体_GB2312" w:cs="楷体_GB2312"/>
          <w:b/>
          <w:bCs/>
          <w:i w:val="0"/>
          <w:caps w:val="0"/>
          <w:color w:val="auto"/>
          <w:spacing w:val="0"/>
          <w:sz w:val="32"/>
          <w:szCs w:val="32"/>
          <w:shd w:val="clear" w:color="auto" w:fill="FFFFFF"/>
          <w:lang w:eastAsia="zh-CN"/>
        </w:rPr>
        <w:t>（一）关于“违法行为轻微并及时改正，没有造成危害后果”不予行政处罚的认定标准</w:t>
      </w:r>
    </w:p>
    <w:p w14:paraId="6955B7B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rightChars="0" w:firstLine="640" w:firstLineChars="200"/>
        <w:jc w:val="both"/>
        <w:textAlignment w:val="auto"/>
        <w:rPr>
          <w:rFonts w:hint="eastAsia" w:ascii="仿宋_GB2312" w:hAnsi="仿宋_GB2312" w:eastAsia="仿宋_GB2312" w:cs="仿宋_GB2312"/>
          <w:i w:val="0"/>
          <w:caps w:val="0"/>
          <w:color w:val="auto"/>
          <w:spacing w:val="0"/>
          <w:sz w:val="32"/>
          <w:szCs w:val="32"/>
          <w:shd w:val="clear" w:color="auto" w:fill="FFFFFF"/>
          <w:lang w:eastAsia="zh-CN"/>
        </w:rPr>
      </w:pPr>
      <w:r>
        <w:rPr>
          <w:rFonts w:hint="eastAsia" w:ascii="仿宋_GB2312" w:hAnsi="仿宋_GB2312" w:eastAsia="仿宋_GB2312" w:cs="仿宋_GB2312"/>
          <w:i w:val="0"/>
          <w:caps w:val="0"/>
          <w:color w:val="auto"/>
          <w:spacing w:val="0"/>
          <w:sz w:val="32"/>
          <w:szCs w:val="32"/>
          <w:shd w:val="clear" w:color="auto" w:fill="FFFFFF"/>
          <w:lang w:eastAsia="zh-CN"/>
        </w:rPr>
        <w:t>1.违法行为轻微：属于《赣州市医疗保障轻微违法行为不予行政处罚事项清单（202</w:t>
      </w:r>
      <w:r>
        <w:rPr>
          <w:rFonts w:hint="eastAsia" w:ascii="仿宋_GB2312" w:hAnsi="仿宋_GB2312" w:eastAsia="仿宋_GB2312" w:cs="仿宋_GB2312"/>
          <w:i w:val="0"/>
          <w:caps w:val="0"/>
          <w:color w:val="auto"/>
          <w:spacing w:val="0"/>
          <w:sz w:val="32"/>
          <w:szCs w:val="32"/>
          <w:shd w:val="clear" w:color="auto" w:fill="FFFFFF"/>
          <w:lang w:val="en-US" w:eastAsia="zh-CN"/>
        </w:rPr>
        <w:t>5</w:t>
      </w:r>
      <w:r>
        <w:rPr>
          <w:rFonts w:hint="eastAsia" w:ascii="仿宋_GB2312" w:hAnsi="仿宋_GB2312" w:eastAsia="仿宋_GB2312" w:cs="仿宋_GB2312"/>
          <w:i w:val="0"/>
          <w:caps w:val="0"/>
          <w:color w:val="auto"/>
          <w:spacing w:val="0"/>
          <w:sz w:val="32"/>
          <w:szCs w:val="32"/>
          <w:shd w:val="clear" w:color="auto" w:fill="FFFFFF"/>
          <w:lang w:eastAsia="zh-CN"/>
        </w:rPr>
        <w:t>版）》（附件1）所列行为。</w:t>
      </w:r>
    </w:p>
    <w:p w14:paraId="7037A8B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rightChars="0" w:firstLine="640" w:firstLineChars="200"/>
        <w:jc w:val="both"/>
        <w:textAlignment w:val="auto"/>
        <w:rPr>
          <w:rFonts w:hint="eastAsia" w:ascii="仿宋_GB2312" w:hAnsi="仿宋_GB2312" w:eastAsia="仿宋_GB2312" w:cs="仿宋_GB2312"/>
          <w:i w:val="0"/>
          <w:caps w:val="0"/>
          <w:color w:val="auto"/>
          <w:spacing w:val="0"/>
          <w:sz w:val="32"/>
          <w:szCs w:val="32"/>
          <w:shd w:val="clear" w:color="auto" w:fill="FFFFFF"/>
          <w:lang w:eastAsia="zh-CN"/>
        </w:rPr>
      </w:pPr>
      <w:r>
        <w:rPr>
          <w:rFonts w:hint="eastAsia" w:ascii="仿宋_GB2312" w:hAnsi="仿宋_GB2312" w:eastAsia="仿宋_GB2312" w:cs="仿宋_GB2312"/>
          <w:i w:val="0"/>
          <w:caps w:val="0"/>
          <w:color w:val="auto"/>
          <w:spacing w:val="0"/>
          <w:sz w:val="32"/>
          <w:szCs w:val="32"/>
          <w:shd w:val="clear" w:color="auto" w:fill="FFFFFF"/>
          <w:lang w:eastAsia="zh-CN"/>
        </w:rPr>
        <w:t>2.及时改正：当事人及时主动改正违法行为。</w:t>
      </w:r>
    </w:p>
    <w:p w14:paraId="0055F76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rightChars="0" w:firstLine="640" w:firstLineChars="200"/>
        <w:jc w:val="both"/>
        <w:textAlignment w:val="auto"/>
        <w:rPr>
          <w:rFonts w:hint="eastAsia" w:ascii="仿宋_GB2312" w:hAnsi="仿宋_GB2312" w:eastAsia="仿宋_GB2312" w:cs="仿宋_GB2312"/>
          <w:i w:val="0"/>
          <w:caps w:val="0"/>
          <w:color w:val="auto"/>
          <w:spacing w:val="0"/>
          <w:sz w:val="32"/>
          <w:szCs w:val="32"/>
          <w:shd w:val="clear" w:color="auto" w:fill="FFFFFF"/>
          <w:lang w:eastAsia="zh-CN"/>
        </w:rPr>
      </w:pPr>
      <w:r>
        <w:rPr>
          <w:rFonts w:hint="eastAsia" w:ascii="仿宋_GB2312" w:hAnsi="仿宋_GB2312" w:eastAsia="仿宋_GB2312" w:cs="仿宋_GB2312"/>
          <w:i w:val="0"/>
          <w:caps w:val="0"/>
          <w:color w:val="auto"/>
          <w:spacing w:val="0"/>
          <w:sz w:val="32"/>
          <w:szCs w:val="32"/>
          <w:shd w:val="clear" w:color="auto" w:fill="FFFFFF"/>
          <w:lang w:eastAsia="zh-CN"/>
        </w:rPr>
        <w:t>3.没有造成危害后果：违法行为未造成不良社会影响；违法行为有医疗保障基金损失的，及时退回医疗保障基金。</w:t>
      </w:r>
    </w:p>
    <w:p w14:paraId="25DC0676">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rightChars="0" w:firstLine="640" w:firstLineChars="200"/>
        <w:jc w:val="both"/>
        <w:textAlignment w:val="auto"/>
        <w:rPr>
          <w:rFonts w:hint="default"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4.不</w:t>
      </w:r>
      <w:r>
        <w:rPr>
          <w:rFonts w:hint="eastAsia" w:ascii="仿宋_GB2312" w:hAnsi="仿宋_GB2312" w:eastAsia="仿宋_GB2312" w:cs="仿宋_GB2312"/>
          <w:i w:val="0"/>
          <w:caps w:val="0"/>
          <w:color w:val="auto"/>
          <w:spacing w:val="0"/>
          <w:sz w:val="32"/>
          <w:szCs w:val="32"/>
          <w:shd w:val="clear" w:color="auto" w:fill="FFFFFF"/>
          <w:lang w:eastAsia="zh-CN"/>
        </w:rPr>
        <w:t>以骗取医保基金为目的：未发现</w:t>
      </w:r>
      <w:r>
        <w:rPr>
          <w:rFonts w:hint="eastAsia" w:ascii="仿宋_GB2312" w:hAnsi="仿宋_GB2312" w:eastAsia="仿宋_GB2312" w:cs="仿宋_GB2312"/>
          <w:i w:val="0"/>
          <w:caps w:val="0"/>
          <w:color w:val="auto"/>
          <w:spacing w:val="0"/>
          <w:sz w:val="32"/>
          <w:szCs w:val="32"/>
          <w:shd w:val="clear" w:color="auto" w:fill="FFFFFF"/>
          <w:lang w:val="en-US" w:eastAsia="zh-CN"/>
        </w:rPr>
        <w:t>当事人以骗取医保基金为目的的违法行为。</w:t>
      </w:r>
    </w:p>
    <w:p w14:paraId="1FB460E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rightChars="0" w:firstLine="640" w:firstLineChars="200"/>
        <w:jc w:val="both"/>
        <w:textAlignment w:val="auto"/>
        <w:rPr>
          <w:rFonts w:hint="eastAsia" w:ascii="仿宋_GB2312" w:hAnsi="仿宋_GB2312" w:eastAsia="仿宋_GB2312" w:cs="仿宋_GB2312"/>
          <w:i w:val="0"/>
          <w:caps w:val="0"/>
          <w:color w:val="auto"/>
          <w:spacing w:val="0"/>
          <w:sz w:val="32"/>
          <w:szCs w:val="32"/>
          <w:shd w:val="clear" w:color="auto" w:fill="FFFFFF"/>
          <w:lang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5</w:t>
      </w:r>
      <w:r>
        <w:rPr>
          <w:rFonts w:hint="eastAsia" w:ascii="仿宋_GB2312" w:hAnsi="仿宋_GB2312" w:eastAsia="仿宋_GB2312" w:cs="仿宋_GB2312"/>
          <w:i w:val="0"/>
          <w:caps w:val="0"/>
          <w:color w:val="auto"/>
          <w:spacing w:val="0"/>
          <w:sz w:val="32"/>
          <w:szCs w:val="32"/>
          <w:shd w:val="clear" w:color="auto" w:fill="FFFFFF"/>
          <w:lang w:eastAsia="zh-CN"/>
        </w:rPr>
        <w:t>.当事人因《中华人民共和国行政处罚法》第33条第1款的规定，违法行为不予处罚后，两年内再次实施同一违法行为的，不予认定为违法行为轻微。</w:t>
      </w:r>
    </w:p>
    <w:p w14:paraId="41FB597F">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rightChars="0" w:firstLine="640" w:firstLineChars="200"/>
        <w:jc w:val="both"/>
        <w:textAlignment w:val="auto"/>
        <w:rPr>
          <w:rFonts w:hint="eastAsia" w:ascii="仿宋_GB2312" w:hAnsi="仿宋_GB2312" w:eastAsia="仿宋_GB2312" w:cs="仿宋_GB2312"/>
          <w:i w:val="0"/>
          <w:caps w:val="0"/>
          <w:color w:val="auto"/>
          <w:spacing w:val="0"/>
          <w:sz w:val="32"/>
          <w:szCs w:val="32"/>
          <w:shd w:val="clear" w:color="auto" w:fill="FFFFFF"/>
          <w:lang w:eastAsia="zh-CN"/>
        </w:rPr>
      </w:pPr>
      <w:r>
        <w:rPr>
          <w:rFonts w:hint="eastAsia" w:ascii="仿宋_GB2312" w:hAnsi="仿宋_GB2312" w:eastAsia="仿宋_GB2312" w:cs="仿宋_GB2312"/>
          <w:i w:val="0"/>
          <w:caps w:val="0"/>
          <w:color w:val="auto"/>
          <w:spacing w:val="0"/>
          <w:sz w:val="32"/>
          <w:szCs w:val="32"/>
          <w:shd w:val="clear" w:color="auto" w:fill="FFFFFF"/>
          <w:lang w:eastAsia="zh-CN"/>
        </w:rPr>
        <w:t>以上</w:t>
      </w:r>
      <w:r>
        <w:rPr>
          <w:rFonts w:hint="eastAsia" w:ascii="仿宋_GB2312" w:hAnsi="仿宋_GB2312" w:eastAsia="仿宋_GB2312" w:cs="仿宋_GB2312"/>
          <w:i w:val="0"/>
          <w:caps w:val="0"/>
          <w:color w:val="auto"/>
          <w:spacing w:val="0"/>
          <w:sz w:val="32"/>
          <w:szCs w:val="32"/>
          <w:shd w:val="clear" w:color="auto" w:fill="FFFFFF"/>
          <w:lang w:val="en-US" w:eastAsia="zh-CN"/>
        </w:rPr>
        <w:t>五</w:t>
      </w:r>
      <w:r>
        <w:rPr>
          <w:rFonts w:hint="eastAsia" w:ascii="仿宋_GB2312" w:hAnsi="仿宋_GB2312" w:eastAsia="仿宋_GB2312" w:cs="仿宋_GB2312"/>
          <w:i w:val="0"/>
          <w:caps w:val="0"/>
          <w:color w:val="auto"/>
          <w:spacing w:val="0"/>
          <w:sz w:val="32"/>
          <w:szCs w:val="32"/>
          <w:shd w:val="clear" w:color="auto" w:fill="FFFFFF"/>
          <w:lang w:eastAsia="zh-CN"/>
        </w:rPr>
        <w:t>项需同时具备，各类轻微违法行为不予行政处罚的具体情形参见附件1。</w:t>
      </w:r>
    </w:p>
    <w:p w14:paraId="70B02AB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rightChars="0" w:firstLine="643" w:firstLineChars="200"/>
        <w:jc w:val="both"/>
        <w:textAlignment w:val="auto"/>
        <w:rPr>
          <w:rFonts w:hint="eastAsia" w:ascii="楷体_GB2312" w:hAnsi="楷体_GB2312" w:eastAsia="楷体_GB2312" w:cs="楷体_GB2312"/>
          <w:b/>
          <w:bCs/>
          <w:i w:val="0"/>
          <w:caps w:val="0"/>
          <w:color w:val="auto"/>
          <w:spacing w:val="0"/>
          <w:sz w:val="32"/>
          <w:szCs w:val="32"/>
          <w:shd w:val="clear" w:color="auto" w:fill="FFFFFF"/>
          <w:lang w:eastAsia="zh-CN"/>
        </w:rPr>
      </w:pPr>
      <w:r>
        <w:rPr>
          <w:rFonts w:hint="eastAsia" w:ascii="楷体_GB2312" w:hAnsi="楷体_GB2312" w:eastAsia="楷体_GB2312" w:cs="楷体_GB2312"/>
          <w:b/>
          <w:bCs/>
          <w:i w:val="0"/>
          <w:caps w:val="0"/>
          <w:color w:val="auto"/>
          <w:spacing w:val="0"/>
          <w:sz w:val="32"/>
          <w:szCs w:val="32"/>
          <w:shd w:val="clear" w:color="auto" w:fill="FFFFFF"/>
          <w:lang w:eastAsia="zh-CN"/>
        </w:rPr>
        <w:t>（二）关于“初次违法且危害后果轻微并及时改正”可以不予行政处罚的认定标准</w:t>
      </w:r>
    </w:p>
    <w:p w14:paraId="0D5C6FD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rightChars="0" w:firstLine="640" w:firstLineChars="200"/>
        <w:jc w:val="both"/>
        <w:textAlignment w:val="auto"/>
        <w:rPr>
          <w:rFonts w:hint="eastAsia" w:ascii="仿宋_GB2312" w:hAnsi="仿宋_GB2312" w:eastAsia="仿宋_GB2312" w:cs="仿宋_GB2312"/>
          <w:i w:val="0"/>
          <w:caps w:val="0"/>
          <w:color w:val="auto"/>
          <w:spacing w:val="0"/>
          <w:sz w:val="32"/>
          <w:szCs w:val="32"/>
          <w:shd w:val="clear" w:color="auto" w:fill="FFFFFF"/>
          <w:lang w:eastAsia="zh-CN"/>
        </w:rPr>
      </w:pPr>
      <w:r>
        <w:rPr>
          <w:rFonts w:hint="eastAsia" w:ascii="仿宋_GB2312" w:hAnsi="仿宋_GB2312" w:eastAsia="仿宋_GB2312" w:cs="仿宋_GB2312"/>
          <w:i w:val="0"/>
          <w:caps w:val="0"/>
          <w:color w:val="auto"/>
          <w:spacing w:val="0"/>
          <w:sz w:val="32"/>
          <w:szCs w:val="32"/>
          <w:shd w:val="clear" w:color="auto" w:fill="FFFFFF"/>
          <w:lang w:eastAsia="zh-CN"/>
        </w:rPr>
        <w:t>1.初次违法：经赣州市医疗保障行政部门查询核实，两年内，当事人无因同一违法行为被赣州市医疗保障行政部门做出行政处罚、责令改正的处理记录。</w:t>
      </w:r>
    </w:p>
    <w:p w14:paraId="6C9337B6">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rightChars="0" w:firstLine="640" w:firstLineChars="200"/>
        <w:jc w:val="both"/>
        <w:textAlignment w:val="auto"/>
        <w:rPr>
          <w:rFonts w:hint="eastAsia" w:ascii="仿宋_GB2312" w:hAnsi="仿宋_GB2312" w:eastAsia="仿宋_GB2312" w:cs="仿宋_GB2312"/>
          <w:i w:val="0"/>
          <w:caps w:val="0"/>
          <w:color w:val="auto"/>
          <w:spacing w:val="0"/>
          <w:sz w:val="32"/>
          <w:szCs w:val="32"/>
          <w:shd w:val="clear" w:color="auto" w:fill="FFFFFF"/>
          <w:lang w:eastAsia="zh-CN"/>
        </w:rPr>
      </w:pPr>
      <w:r>
        <w:rPr>
          <w:rFonts w:hint="eastAsia" w:ascii="仿宋_GB2312" w:hAnsi="仿宋_GB2312" w:eastAsia="仿宋_GB2312" w:cs="仿宋_GB2312"/>
          <w:i w:val="0"/>
          <w:caps w:val="0"/>
          <w:color w:val="auto"/>
          <w:spacing w:val="0"/>
          <w:sz w:val="32"/>
          <w:szCs w:val="32"/>
          <w:shd w:val="clear" w:color="auto" w:fill="FFFFFF"/>
          <w:lang w:eastAsia="zh-CN"/>
        </w:rPr>
        <w:t>2.危害后果轻微：定点医药机构造成医疗保障基金损失的行为，造成医疗保障基金损失金额</w:t>
      </w:r>
      <w:r>
        <w:rPr>
          <w:rFonts w:hint="eastAsia" w:ascii="仿宋_GB2312" w:hAnsi="仿宋_GB2312" w:eastAsia="仿宋_GB2312" w:cs="仿宋_GB2312"/>
          <w:i w:val="0"/>
          <w:caps w:val="0"/>
          <w:color w:val="auto"/>
          <w:spacing w:val="0"/>
          <w:sz w:val="32"/>
          <w:szCs w:val="32"/>
          <w:shd w:val="clear" w:color="auto" w:fill="FFFFFF"/>
          <w:lang w:val="en-US" w:eastAsia="zh-CN"/>
        </w:rPr>
        <w:t>5000</w:t>
      </w:r>
      <w:r>
        <w:rPr>
          <w:rFonts w:hint="eastAsia" w:ascii="仿宋_GB2312" w:hAnsi="仿宋_GB2312" w:eastAsia="仿宋_GB2312" w:cs="仿宋_GB2312"/>
          <w:i w:val="0"/>
          <w:caps w:val="0"/>
          <w:color w:val="auto"/>
          <w:spacing w:val="0"/>
          <w:sz w:val="32"/>
          <w:szCs w:val="32"/>
          <w:shd w:val="clear" w:color="auto" w:fill="FFFFFF"/>
          <w:lang w:eastAsia="zh-CN"/>
        </w:rPr>
        <w:t>元以下或者该定点医药机构上年度医疗保障基金支付总额的0.</w:t>
      </w:r>
      <w:r>
        <w:rPr>
          <w:rFonts w:hint="eastAsia" w:ascii="仿宋_GB2312" w:hAnsi="仿宋_GB2312" w:eastAsia="仿宋_GB2312" w:cs="仿宋_GB2312"/>
          <w:i w:val="0"/>
          <w:caps w:val="0"/>
          <w:color w:val="auto"/>
          <w:spacing w:val="0"/>
          <w:sz w:val="32"/>
          <w:szCs w:val="32"/>
          <w:shd w:val="clear" w:color="auto" w:fill="FFFFFF"/>
          <w:lang w:val="en-US" w:eastAsia="zh-CN"/>
        </w:rPr>
        <w:t>05</w:t>
      </w:r>
      <w:r>
        <w:rPr>
          <w:rFonts w:hint="eastAsia" w:ascii="仿宋_GB2312" w:hAnsi="仿宋_GB2312" w:eastAsia="仿宋_GB2312" w:cs="仿宋_GB2312"/>
          <w:i w:val="0"/>
          <w:caps w:val="0"/>
          <w:color w:val="auto"/>
          <w:spacing w:val="0"/>
          <w:sz w:val="32"/>
          <w:szCs w:val="32"/>
          <w:shd w:val="clear" w:color="auto" w:fill="FFFFFF"/>
          <w:lang w:eastAsia="zh-CN"/>
        </w:rPr>
        <w:t>%以下；</w:t>
      </w:r>
    </w:p>
    <w:p w14:paraId="50E0D72E">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rightChars="0" w:firstLine="640" w:firstLineChars="200"/>
        <w:jc w:val="both"/>
        <w:textAlignment w:val="auto"/>
        <w:rPr>
          <w:rFonts w:hint="eastAsia" w:ascii="仿宋_GB2312" w:hAnsi="仿宋_GB2312" w:eastAsia="仿宋_GB2312" w:cs="仿宋_GB2312"/>
          <w:i w:val="0"/>
          <w:caps w:val="0"/>
          <w:color w:val="auto"/>
          <w:spacing w:val="0"/>
          <w:sz w:val="32"/>
          <w:szCs w:val="32"/>
          <w:shd w:val="clear" w:color="auto" w:fill="FFFFFF"/>
          <w:lang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3</w:t>
      </w:r>
      <w:r>
        <w:rPr>
          <w:rFonts w:hint="eastAsia" w:ascii="仿宋_GB2312" w:hAnsi="仿宋_GB2312" w:eastAsia="仿宋_GB2312" w:cs="仿宋_GB2312"/>
          <w:i w:val="0"/>
          <w:caps w:val="0"/>
          <w:color w:val="auto"/>
          <w:spacing w:val="0"/>
          <w:sz w:val="32"/>
          <w:szCs w:val="32"/>
          <w:shd w:val="clear" w:color="auto" w:fill="FFFFFF"/>
          <w:lang w:eastAsia="zh-CN"/>
        </w:rPr>
        <w:t>.及时改正：当事人主动改正违法行为，或者经赣州市医疗保障行政部门责令改正后，在规定时间内按照要求及时</w:t>
      </w:r>
      <w:r>
        <w:rPr>
          <w:rFonts w:hint="default" w:ascii="仿宋_GB2312" w:hAnsi="仿宋_GB2312" w:eastAsia="仿宋_GB2312" w:cs="仿宋_GB2312"/>
          <w:i w:val="0"/>
          <w:caps w:val="0"/>
          <w:color w:val="auto"/>
          <w:spacing w:val="0"/>
          <w:sz w:val="32"/>
          <w:szCs w:val="32"/>
          <w:shd w:val="clear" w:color="auto" w:fill="FFFFFF"/>
          <w:lang w:val="en-US" w:eastAsia="zh-CN"/>
        </w:rPr>
        <w:t>改正</w:t>
      </w:r>
      <w:r>
        <w:rPr>
          <w:rFonts w:hint="eastAsia" w:ascii="仿宋_GB2312" w:hAnsi="仿宋_GB2312" w:eastAsia="仿宋_GB2312" w:cs="仿宋_GB2312"/>
          <w:i w:val="0"/>
          <w:caps w:val="0"/>
          <w:color w:val="auto"/>
          <w:spacing w:val="0"/>
          <w:sz w:val="32"/>
          <w:szCs w:val="32"/>
          <w:shd w:val="clear" w:color="auto" w:fill="FFFFFF"/>
          <w:lang w:eastAsia="zh-CN"/>
        </w:rPr>
        <w:t xml:space="preserve">。  </w:t>
      </w:r>
    </w:p>
    <w:p w14:paraId="39A4F6AF">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rightChars="0" w:firstLine="640" w:firstLineChars="200"/>
        <w:jc w:val="both"/>
        <w:textAlignment w:val="auto"/>
        <w:rPr>
          <w:rFonts w:hint="eastAsia" w:ascii="仿宋_GB2312" w:hAnsi="仿宋_GB2312" w:eastAsia="仿宋_GB2312" w:cs="仿宋_GB2312"/>
          <w:i w:val="0"/>
          <w:caps w:val="0"/>
          <w:color w:val="auto"/>
          <w:spacing w:val="0"/>
          <w:sz w:val="32"/>
          <w:szCs w:val="32"/>
          <w:shd w:val="clear" w:color="auto" w:fill="FFFFFF"/>
          <w:lang w:eastAsia="zh-CN"/>
        </w:rPr>
      </w:pPr>
      <w:r>
        <w:rPr>
          <w:rFonts w:hint="eastAsia" w:ascii="仿宋_GB2312" w:hAnsi="仿宋_GB2312" w:eastAsia="仿宋_GB2312" w:cs="仿宋_GB2312"/>
          <w:i w:val="0"/>
          <w:caps w:val="0"/>
          <w:color w:val="auto"/>
          <w:spacing w:val="0"/>
          <w:sz w:val="32"/>
          <w:szCs w:val="32"/>
          <w:shd w:val="clear" w:color="auto" w:fill="FFFFFF"/>
          <w:lang w:eastAsia="zh-CN"/>
        </w:rPr>
        <w:t>以上三项需同时具备，各类初次违法行为可以不予行政处罚的具体情形参见附件2。</w:t>
      </w:r>
    </w:p>
    <w:p w14:paraId="531068C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rightChars="0" w:firstLine="640" w:firstLineChars="200"/>
        <w:jc w:val="both"/>
        <w:textAlignment w:val="auto"/>
        <w:rPr>
          <w:rFonts w:hint="eastAsia" w:ascii="黑体" w:hAnsi="黑体" w:eastAsia="黑体" w:cs="黑体"/>
          <w:i w:val="0"/>
          <w:caps w:val="0"/>
          <w:color w:val="auto"/>
          <w:spacing w:val="0"/>
          <w:sz w:val="32"/>
          <w:szCs w:val="32"/>
          <w:shd w:val="clear" w:color="auto" w:fill="FFFFFF"/>
          <w:lang w:eastAsia="zh-CN"/>
        </w:rPr>
      </w:pPr>
      <w:r>
        <w:rPr>
          <w:rFonts w:hint="eastAsia" w:ascii="黑体" w:hAnsi="黑体" w:eastAsia="黑体" w:cs="黑体"/>
          <w:i w:val="0"/>
          <w:caps w:val="0"/>
          <w:color w:val="auto"/>
          <w:spacing w:val="0"/>
          <w:sz w:val="32"/>
          <w:szCs w:val="32"/>
          <w:shd w:val="clear" w:color="auto" w:fill="FFFFFF"/>
          <w:lang w:eastAsia="zh-CN"/>
        </w:rPr>
        <w:t>三、适用程序</w:t>
      </w:r>
    </w:p>
    <w:p w14:paraId="3A29DF3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rightChars="0" w:firstLine="643" w:firstLineChars="200"/>
        <w:jc w:val="both"/>
        <w:textAlignment w:val="auto"/>
        <w:rPr>
          <w:rFonts w:hint="eastAsia" w:ascii="仿宋_GB2312" w:hAnsi="仿宋_GB2312" w:eastAsia="仿宋_GB2312" w:cs="仿宋_GB2312"/>
          <w:i w:val="0"/>
          <w:caps w:val="0"/>
          <w:color w:val="auto"/>
          <w:spacing w:val="0"/>
          <w:sz w:val="32"/>
          <w:szCs w:val="32"/>
          <w:shd w:val="clear" w:color="auto" w:fill="FFFFFF"/>
          <w:lang w:eastAsia="zh-CN"/>
        </w:rPr>
      </w:pPr>
      <w:r>
        <w:rPr>
          <w:rFonts w:hint="eastAsia" w:ascii="楷体_GB2312" w:hAnsi="楷体_GB2312" w:eastAsia="楷体_GB2312" w:cs="楷体_GB2312"/>
          <w:b/>
          <w:bCs/>
          <w:i w:val="0"/>
          <w:caps w:val="0"/>
          <w:color w:val="auto"/>
          <w:spacing w:val="0"/>
          <w:sz w:val="32"/>
          <w:szCs w:val="32"/>
          <w:shd w:val="clear" w:color="auto" w:fill="FFFFFF"/>
          <w:lang w:eastAsia="zh-CN"/>
        </w:rPr>
        <w:t>（一）主动告知，</w:t>
      </w:r>
      <w:r>
        <w:rPr>
          <w:rFonts w:hint="eastAsia" w:ascii="楷体_GB2312" w:hAnsi="楷体_GB2312" w:eastAsia="楷体_GB2312" w:cs="楷体_GB2312"/>
          <w:b/>
          <w:bCs/>
          <w:i w:val="0"/>
          <w:caps w:val="0"/>
          <w:color w:val="auto"/>
          <w:spacing w:val="0"/>
          <w:sz w:val="32"/>
          <w:szCs w:val="32"/>
          <w:shd w:val="clear" w:color="auto" w:fill="FFFFFF"/>
          <w:lang w:val="en-US" w:eastAsia="zh-CN"/>
        </w:rPr>
        <w:t>指导及时改正。</w:t>
      </w:r>
      <w:r>
        <w:rPr>
          <w:rFonts w:hint="eastAsia" w:ascii="仿宋_GB2312" w:hAnsi="仿宋_GB2312" w:eastAsia="仿宋_GB2312" w:cs="仿宋_GB2312"/>
          <w:i w:val="0"/>
          <w:caps w:val="0"/>
          <w:color w:val="auto"/>
          <w:spacing w:val="0"/>
          <w:sz w:val="32"/>
          <w:szCs w:val="32"/>
          <w:shd w:val="clear" w:color="auto" w:fill="FFFFFF"/>
          <w:lang w:eastAsia="zh-CN"/>
        </w:rPr>
        <w:t>赣州市医疗保障行政部门在行政执法中，认为违法行为属于“</w:t>
      </w:r>
      <w:r>
        <w:rPr>
          <w:rFonts w:hint="eastAsia" w:ascii="仿宋_GB2312" w:hAnsi="仿宋_GB2312" w:eastAsia="仿宋_GB2312" w:cs="仿宋_GB2312"/>
          <w:i w:val="0"/>
          <w:caps w:val="0"/>
          <w:color w:val="auto"/>
          <w:spacing w:val="0"/>
          <w:sz w:val="32"/>
          <w:szCs w:val="32"/>
          <w:shd w:val="clear" w:color="auto" w:fill="FFFFFF"/>
        </w:rPr>
        <w:t>轻微违法</w:t>
      </w:r>
      <w:r>
        <w:rPr>
          <w:rFonts w:hint="eastAsia" w:ascii="仿宋_GB2312" w:hAnsi="仿宋_GB2312" w:eastAsia="仿宋_GB2312" w:cs="仿宋_GB2312"/>
          <w:i w:val="0"/>
          <w:caps w:val="0"/>
          <w:color w:val="auto"/>
          <w:spacing w:val="0"/>
          <w:sz w:val="32"/>
          <w:szCs w:val="32"/>
          <w:shd w:val="clear" w:color="auto" w:fill="FFFFFF"/>
          <w:lang w:val="en-US" w:eastAsia="zh-CN"/>
        </w:rPr>
        <w:t>不罚、初次违法不罚”</w:t>
      </w:r>
      <w:r>
        <w:rPr>
          <w:rFonts w:hint="eastAsia" w:ascii="仿宋_GB2312" w:hAnsi="仿宋_GB2312" w:eastAsia="仿宋_GB2312" w:cs="仿宋_GB2312"/>
          <w:i w:val="0"/>
          <w:caps w:val="0"/>
          <w:color w:val="auto"/>
          <w:spacing w:val="0"/>
          <w:sz w:val="32"/>
          <w:szCs w:val="32"/>
          <w:shd w:val="clear" w:color="auto" w:fill="FFFFFF"/>
          <w:lang w:eastAsia="zh-CN"/>
        </w:rPr>
        <w:t>等情形，且具备适用条件的，应当给予当事人必要指导，主动告知当事人可以适用“轻微违法免罚、初次违法慎罚”的具体要求，引导当事人及时改正，自觉守法。</w:t>
      </w:r>
    </w:p>
    <w:p w14:paraId="2328274F">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3" w:firstLineChars="200"/>
        <w:jc w:val="both"/>
        <w:textAlignment w:val="auto"/>
        <w:rPr>
          <w:rFonts w:hint="eastAsia" w:ascii="仿宋_GB2312" w:hAnsi="仿宋_GB2312" w:eastAsia="仿宋_GB2312" w:cs="仿宋_GB2312"/>
          <w:i w:val="0"/>
          <w:caps w:val="0"/>
          <w:color w:val="auto"/>
          <w:spacing w:val="0"/>
          <w:sz w:val="32"/>
          <w:szCs w:val="32"/>
          <w:shd w:val="clear" w:color="auto" w:fill="FFFFFF"/>
          <w:lang w:eastAsia="zh-CN"/>
        </w:rPr>
      </w:pPr>
      <w:r>
        <w:rPr>
          <w:rFonts w:hint="eastAsia" w:ascii="楷体_GB2312" w:hAnsi="楷体_GB2312" w:eastAsia="楷体_GB2312" w:cs="楷体_GB2312"/>
          <w:b/>
          <w:bCs/>
          <w:i w:val="0"/>
          <w:caps w:val="0"/>
          <w:color w:val="auto"/>
          <w:spacing w:val="0"/>
          <w:sz w:val="32"/>
          <w:szCs w:val="32"/>
          <w:shd w:val="clear" w:color="auto" w:fill="FFFFFF"/>
          <w:lang w:eastAsia="zh-CN"/>
        </w:rPr>
        <w:t>（二）严格审批，</w:t>
      </w:r>
      <w:r>
        <w:rPr>
          <w:rFonts w:hint="eastAsia" w:ascii="楷体_GB2312" w:hAnsi="楷体_GB2312" w:eastAsia="楷体_GB2312" w:cs="楷体_GB2312"/>
          <w:b/>
          <w:bCs/>
          <w:i w:val="0"/>
          <w:caps w:val="0"/>
          <w:color w:val="auto"/>
          <w:spacing w:val="0"/>
          <w:sz w:val="32"/>
          <w:szCs w:val="32"/>
          <w:shd w:val="clear" w:color="auto" w:fill="FFFFFF"/>
          <w:lang w:val="en-US" w:eastAsia="zh-CN"/>
        </w:rPr>
        <w:t>确保</w:t>
      </w:r>
      <w:r>
        <w:rPr>
          <w:rFonts w:hint="eastAsia" w:ascii="楷体_GB2312" w:hAnsi="楷体_GB2312" w:eastAsia="楷体_GB2312" w:cs="楷体_GB2312"/>
          <w:b/>
          <w:bCs/>
          <w:i w:val="0"/>
          <w:caps w:val="0"/>
          <w:color w:val="auto"/>
          <w:spacing w:val="0"/>
          <w:sz w:val="32"/>
          <w:szCs w:val="32"/>
          <w:shd w:val="clear" w:color="auto" w:fill="FFFFFF"/>
          <w:lang w:eastAsia="zh-CN"/>
        </w:rPr>
        <w:t>全程留痕。</w:t>
      </w:r>
      <w:r>
        <w:rPr>
          <w:rFonts w:hint="eastAsia" w:ascii="仿宋_GB2312" w:hAnsi="仿宋_GB2312" w:eastAsia="仿宋_GB2312" w:cs="仿宋_GB2312"/>
          <w:i w:val="0"/>
          <w:caps w:val="0"/>
          <w:color w:val="auto"/>
          <w:spacing w:val="0"/>
          <w:sz w:val="32"/>
          <w:szCs w:val="32"/>
          <w:shd w:val="clear" w:color="auto" w:fill="FFFFFF"/>
          <w:lang w:eastAsia="zh-CN"/>
        </w:rPr>
        <w:t>赣州市医疗保障行政部门发现当事人违法行为符合适用“</w:t>
      </w:r>
      <w:r>
        <w:rPr>
          <w:rFonts w:hint="eastAsia" w:ascii="仿宋_GB2312" w:hAnsi="仿宋_GB2312" w:eastAsia="仿宋_GB2312" w:cs="仿宋_GB2312"/>
          <w:i w:val="0"/>
          <w:caps w:val="0"/>
          <w:color w:val="auto"/>
          <w:spacing w:val="0"/>
          <w:sz w:val="32"/>
          <w:szCs w:val="32"/>
          <w:shd w:val="clear" w:color="auto" w:fill="FFFFFF"/>
        </w:rPr>
        <w:t>轻微违法</w:t>
      </w:r>
      <w:r>
        <w:rPr>
          <w:rFonts w:hint="eastAsia" w:ascii="仿宋_GB2312" w:hAnsi="仿宋_GB2312" w:eastAsia="仿宋_GB2312" w:cs="仿宋_GB2312"/>
          <w:i w:val="0"/>
          <w:caps w:val="0"/>
          <w:color w:val="auto"/>
          <w:spacing w:val="0"/>
          <w:sz w:val="32"/>
          <w:szCs w:val="32"/>
          <w:shd w:val="clear" w:color="auto" w:fill="FFFFFF"/>
          <w:lang w:val="en-US" w:eastAsia="zh-CN"/>
        </w:rPr>
        <w:t>不罚、初次违法不罚”</w:t>
      </w:r>
      <w:r>
        <w:rPr>
          <w:rFonts w:hint="eastAsia" w:ascii="仿宋_GB2312" w:hAnsi="仿宋_GB2312" w:eastAsia="仿宋_GB2312" w:cs="仿宋_GB2312"/>
          <w:i w:val="0"/>
          <w:caps w:val="0"/>
          <w:color w:val="auto"/>
          <w:spacing w:val="0"/>
          <w:sz w:val="32"/>
          <w:szCs w:val="32"/>
          <w:shd w:val="clear" w:color="auto" w:fill="FFFFFF"/>
          <w:lang w:eastAsia="zh-CN"/>
        </w:rPr>
        <w:t>情形的，应当按照医疗保障行政处罚程序相关规定履行审核程序，已行政立案的作出《不予行政处罚决定书》《责令改正通知书》，未行政立案的作出《责令改正通知书》，同时要求当事人签订《守法诚信承诺书》，确保适用“</w:t>
      </w:r>
      <w:r>
        <w:rPr>
          <w:rFonts w:hint="eastAsia" w:ascii="仿宋_GB2312" w:hAnsi="仿宋_GB2312" w:eastAsia="仿宋_GB2312" w:cs="仿宋_GB2312"/>
          <w:i w:val="0"/>
          <w:caps w:val="0"/>
          <w:color w:val="auto"/>
          <w:spacing w:val="0"/>
          <w:sz w:val="32"/>
          <w:szCs w:val="32"/>
          <w:shd w:val="clear" w:color="auto" w:fill="FFFFFF"/>
        </w:rPr>
        <w:t>轻微违法</w:t>
      </w:r>
      <w:r>
        <w:rPr>
          <w:rFonts w:hint="eastAsia" w:ascii="仿宋_GB2312" w:hAnsi="仿宋_GB2312" w:eastAsia="仿宋_GB2312" w:cs="仿宋_GB2312"/>
          <w:i w:val="0"/>
          <w:caps w:val="0"/>
          <w:color w:val="auto"/>
          <w:spacing w:val="0"/>
          <w:sz w:val="32"/>
          <w:szCs w:val="32"/>
          <w:shd w:val="clear" w:color="auto" w:fill="FFFFFF"/>
          <w:lang w:val="en-US" w:eastAsia="zh-CN"/>
        </w:rPr>
        <w:t>不罚、初次违法不罚”</w:t>
      </w:r>
      <w:r>
        <w:rPr>
          <w:rFonts w:hint="eastAsia" w:ascii="仿宋_GB2312" w:hAnsi="仿宋_GB2312" w:eastAsia="仿宋_GB2312" w:cs="仿宋_GB2312"/>
          <w:i w:val="0"/>
          <w:caps w:val="0"/>
          <w:color w:val="auto"/>
          <w:spacing w:val="0"/>
          <w:sz w:val="32"/>
          <w:szCs w:val="32"/>
          <w:shd w:val="clear" w:color="auto" w:fill="FFFFFF"/>
          <w:lang w:eastAsia="zh-CN"/>
        </w:rPr>
        <w:t>的案件，全程留痕、有据可查，并做好不予行政处罚的过程记录、资料整理及归档等工作。</w:t>
      </w:r>
    </w:p>
    <w:p w14:paraId="683AED17">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3" w:firstLineChars="200"/>
        <w:jc w:val="both"/>
        <w:textAlignment w:val="auto"/>
        <w:rPr>
          <w:rFonts w:hint="eastAsia" w:ascii="仿宋_GB2312" w:hAnsi="仿宋_GB2312" w:eastAsia="仿宋_GB2312" w:cs="仿宋_GB2312"/>
          <w:i w:val="0"/>
          <w:caps w:val="0"/>
          <w:color w:val="auto"/>
          <w:spacing w:val="0"/>
          <w:sz w:val="32"/>
          <w:szCs w:val="32"/>
          <w:shd w:val="clear" w:color="auto" w:fill="FFFFFF"/>
          <w:lang w:eastAsia="zh-CN"/>
        </w:rPr>
      </w:pPr>
      <w:r>
        <w:rPr>
          <w:rFonts w:hint="eastAsia" w:ascii="楷体_GB2312" w:hAnsi="楷体_GB2312" w:eastAsia="楷体_GB2312" w:cs="楷体_GB2312"/>
          <w:b/>
          <w:bCs/>
          <w:i w:val="0"/>
          <w:caps w:val="0"/>
          <w:color w:val="auto"/>
          <w:spacing w:val="0"/>
          <w:sz w:val="32"/>
          <w:szCs w:val="32"/>
          <w:shd w:val="clear" w:color="auto" w:fill="FFFFFF"/>
          <w:lang w:eastAsia="zh-CN"/>
        </w:rPr>
        <w:t>（三）积极探索，创新监管方式。</w:t>
      </w:r>
      <w:r>
        <w:rPr>
          <w:rFonts w:hint="eastAsia" w:ascii="仿宋_GB2312" w:hAnsi="仿宋_GB2312" w:eastAsia="仿宋_GB2312" w:cs="仿宋_GB2312"/>
          <w:i w:val="0"/>
          <w:caps w:val="0"/>
          <w:color w:val="auto"/>
          <w:spacing w:val="0"/>
          <w:sz w:val="32"/>
          <w:szCs w:val="32"/>
          <w:shd w:val="clear" w:color="auto" w:fill="FFFFFF"/>
          <w:lang w:eastAsia="zh-CN"/>
        </w:rPr>
        <w:t>赣州市医疗保障行政部门对于适用“</w:t>
      </w:r>
      <w:r>
        <w:rPr>
          <w:rFonts w:hint="eastAsia" w:ascii="仿宋_GB2312" w:hAnsi="仿宋_GB2312" w:eastAsia="仿宋_GB2312" w:cs="仿宋_GB2312"/>
          <w:i w:val="0"/>
          <w:caps w:val="0"/>
          <w:color w:val="auto"/>
          <w:spacing w:val="0"/>
          <w:sz w:val="32"/>
          <w:szCs w:val="32"/>
          <w:shd w:val="clear" w:color="auto" w:fill="FFFFFF"/>
        </w:rPr>
        <w:t>轻微违法</w:t>
      </w:r>
      <w:r>
        <w:rPr>
          <w:rFonts w:hint="eastAsia" w:ascii="仿宋_GB2312" w:hAnsi="仿宋_GB2312" w:eastAsia="仿宋_GB2312" w:cs="仿宋_GB2312"/>
          <w:i w:val="0"/>
          <w:caps w:val="0"/>
          <w:color w:val="auto"/>
          <w:spacing w:val="0"/>
          <w:sz w:val="32"/>
          <w:szCs w:val="32"/>
          <w:shd w:val="clear" w:color="auto" w:fill="FFFFFF"/>
          <w:lang w:val="en-US" w:eastAsia="zh-CN"/>
        </w:rPr>
        <w:t>不罚、初次违法不罚”</w:t>
      </w:r>
      <w:r>
        <w:rPr>
          <w:rFonts w:hint="eastAsia" w:ascii="仿宋_GB2312" w:hAnsi="仿宋_GB2312" w:eastAsia="仿宋_GB2312" w:cs="仿宋_GB2312"/>
          <w:i w:val="0"/>
          <w:caps w:val="0"/>
          <w:color w:val="auto"/>
          <w:spacing w:val="0"/>
          <w:sz w:val="32"/>
          <w:szCs w:val="32"/>
          <w:shd w:val="clear" w:color="auto" w:fill="FFFFFF"/>
          <w:lang w:eastAsia="zh-CN"/>
        </w:rPr>
        <w:t>的案件，应当对当事人进行教育引导，并做好相关教育资料的留存归档，使当事人增强法律意识、自觉学法守法。</w:t>
      </w:r>
    </w:p>
    <w:p w14:paraId="1F55506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黑体" w:hAnsi="黑体" w:eastAsia="黑体" w:cs="黑体"/>
          <w:i w:val="0"/>
          <w:caps w:val="0"/>
          <w:color w:val="auto"/>
          <w:spacing w:val="0"/>
          <w:sz w:val="32"/>
          <w:szCs w:val="32"/>
          <w:shd w:val="clear" w:color="auto" w:fill="FFFFFF"/>
        </w:rPr>
      </w:pPr>
      <w:r>
        <w:rPr>
          <w:rFonts w:hint="eastAsia" w:ascii="黑体" w:hAnsi="黑体" w:eastAsia="黑体" w:cs="黑体"/>
          <w:i w:val="0"/>
          <w:caps w:val="0"/>
          <w:color w:val="auto"/>
          <w:spacing w:val="0"/>
          <w:sz w:val="32"/>
          <w:szCs w:val="32"/>
          <w:shd w:val="clear" w:color="auto" w:fill="FFFFFF"/>
          <w:lang w:eastAsia="zh-CN"/>
        </w:rPr>
        <w:t>四</w:t>
      </w:r>
      <w:r>
        <w:rPr>
          <w:rFonts w:hint="eastAsia" w:ascii="黑体" w:hAnsi="黑体" w:eastAsia="黑体" w:cs="黑体"/>
          <w:i w:val="0"/>
          <w:caps w:val="0"/>
          <w:color w:val="auto"/>
          <w:spacing w:val="0"/>
          <w:sz w:val="32"/>
          <w:szCs w:val="32"/>
          <w:shd w:val="clear" w:color="auto" w:fill="FFFFFF"/>
        </w:rPr>
        <w:t>、其他应注意的问题</w:t>
      </w:r>
    </w:p>
    <w:p w14:paraId="6891B8BF">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b w:val="0"/>
          <w:bCs w:val="0"/>
          <w:i w:val="0"/>
          <w:caps w:val="0"/>
          <w:color w:val="auto"/>
          <w:spacing w:val="0"/>
          <w:sz w:val="32"/>
          <w:szCs w:val="32"/>
          <w:shd w:val="clear" w:color="auto" w:fill="FFFFFF"/>
        </w:rPr>
      </w:pPr>
      <w:r>
        <w:rPr>
          <w:rFonts w:hint="eastAsia" w:ascii="仿宋_GB2312" w:hAnsi="仿宋_GB2312" w:eastAsia="仿宋_GB2312" w:cs="仿宋_GB2312"/>
          <w:b w:val="0"/>
          <w:bCs w:val="0"/>
          <w:i w:val="0"/>
          <w:caps w:val="0"/>
          <w:color w:val="auto"/>
          <w:spacing w:val="0"/>
          <w:sz w:val="32"/>
          <w:szCs w:val="32"/>
          <w:shd w:val="clear" w:color="auto" w:fill="FFFFFF"/>
        </w:rPr>
        <w:t>（一）《包容免罚清单》可以作为行政处罚裁量的内容，不得作为行政处罚的法律依据。</w:t>
      </w:r>
    </w:p>
    <w:p w14:paraId="75B36CA4">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b w:val="0"/>
          <w:bCs w:val="0"/>
          <w:i w:val="0"/>
          <w:caps w:val="0"/>
          <w:color w:val="auto"/>
          <w:spacing w:val="0"/>
          <w:sz w:val="32"/>
          <w:szCs w:val="32"/>
          <w:shd w:val="clear" w:color="auto" w:fill="FFFFFF"/>
        </w:rPr>
      </w:pPr>
      <w:r>
        <w:rPr>
          <w:rFonts w:hint="eastAsia" w:ascii="仿宋_GB2312" w:hAnsi="仿宋_GB2312" w:eastAsia="仿宋_GB2312" w:cs="仿宋_GB2312"/>
          <w:b w:val="0"/>
          <w:bCs w:val="0"/>
          <w:i w:val="0"/>
          <w:caps w:val="0"/>
          <w:color w:val="auto"/>
          <w:spacing w:val="0"/>
          <w:sz w:val="32"/>
          <w:szCs w:val="32"/>
          <w:shd w:val="clear" w:color="auto" w:fill="FFFFFF"/>
        </w:rPr>
        <w:t>（二）</w:t>
      </w:r>
      <w:r>
        <w:rPr>
          <w:rFonts w:hint="eastAsia" w:ascii="仿宋_GB2312" w:hAnsi="仿宋_GB2312" w:eastAsia="仿宋_GB2312" w:cs="仿宋_GB2312"/>
          <w:b w:val="0"/>
          <w:bCs w:val="0"/>
          <w:i w:val="0"/>
          <w:caps w:val="0"/>
          <w:color w:val="auto"/>
          <w:spacing w:val="0"/>
          <w:sz w:val="32"/>
          <w:szCs w:val="32"/>
          <w:shd w:val="clear" w:color="auto" w:fill="FFFFFF"/>
          <w:lang w:eastAsia="zh-CN"/>
        </w:rPr>
        <w:t>“</w:t>
      </w:r>
      <w:r>
        <w:rPr>
          <w:rFonts w:hint="eastAsia" w:ascii="仿宋_GB2312" w:hAnsi="仿宋_GB2312" w:eastAsia="仿宋_GB2312" w:cs="仿宋_GB2312"/>
          <w:b w:val="0"/>
          <w:bCs w:val="0"/>
          <w:i w:val="0"/>
          <w:caps w:val="0"/>
          <w:color w:val="auto"/>
          <w:spacing w:val="0"/>
          <w:sz w:val="32"/>
          <w:szCs w:val="32"/>
          <w:shd w:val="clear" w:color="auto" w:fill="FFFFFF"/>
        </w:rPr>
        <w:t>轻微违法</w:t>
      </w:r>
      <w:r>
        <w:rPr>
          <w:rFonts w:hint="eastAsia" w:ascii="仿宋_GB2312" w:hAnsi="仿宋_GB2312" w:eastAsia="仿宋_GB2312" w:cs="仿宋_GB2312"/>
          <w:b w:val="0"/>
          <w:bCs w:val="0"/>
          <w:i w:val="0"/>
          <w:caps w:val="0"/>
          <w:color w:val="auto"/>
          <w:spacing w:val="0"/>
          <w:sz w:val="32"/>
          <w:szCs w:val="32"/>
          <w:shd w:val="clear" w:color="auto" w:fill="FFFFFF"/>
          <w:lang w:val="en-US" w:eastAsia="zh-CN"/>
        </w:rPr>
        <w:t>不罚、初次违法不罚”</w:t>
      </w:r>
      <w:r>
        <w:rPr>
          <w:rFonts w:hint="eastAsia" w:ascii="仿宋_GB2312" w:hAnsi="仿宋_GB2312" w:eastAsia="仿宋_GB2312" w:cs="仿宋_GB2312"/>
          <w:b w:val="0"/>
          <w:bCs w:val="0"/>
          <w:i w:val="0"/>
          <w:caps w:val="0"/>
          <w:color w:val="auto"/>
          <w:spacing w:val="0"/>
          <w:sz w:val="32"/>
          <w:szCs w:val="32"/>
          <w:shd w:val="clear" w:color="auto" w:fill="FFFFFF"/>
        </w:rPr>
        <w:t>并未改变违法行为的违法属性，当事人仍负有停止、改正违法行为，消除社会危害性的义务。当事人拒不改正、逾期不改正或者改正后仍不符合要求的，应当依法予以相应行政处罚。</w:t>
      </w:r>
    </w:p>
    <w:p w14:paraId="0FD37C3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b w:val="0"/>
          <w:bCs w:val="0"/>
          <w:i w:val="0"/>
          <w:caps w:val="0"/>
          <w:color w:val="auto"/>
          <w:spacing w:val="0"/>
          <w:sz w:val="32"/>
          <w:szCs w:val="32"/>
          <w:shd w:val="clear" w:color="auto" w:fill="FFFFFF"/>
          <w:lang w:eastAsia="zh-CN"/>
        </w:rPr>
      </w:pPr>
      <w:r>
        <w:rPr>
          <w:rFonts w:hint="eastAsia" w:ascii="仿宋_GB2312" w:hAnsi="仿宋_GB2312" w:eastAsia="仿宋_GB2312" w:cs="仿宋_GB2312"/>
          <w:b w:val="0"/>
          <w:bCs w:val="0"/>
          <w:i w:val="0"/>
          <w:caps w:val="0"/>
          <w:color w:val="auto"/>
          <w:spacing w:val="0"/>
          <w:sz w:val="32"/>
          <w:szCs w:val="32"/>
          <w:shd w:val="clear" w:color="auto" w:fill="FFFFFF"/>
          <w:lang w:eastAsia="zh-CN"/>
        </w:rPr>
        <w:t>（三）本通知所称以上、以下，包括本数。</w:t>
      </w:r>
    </w:p>
    <w:p w14:paraId="084176B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仿宋_GB2312" w:hAnsi="仿宋_GB2312" w:eastAsia="仿宋_GB2312" w:cs="仿宋_GB2312"/>
          <w:i w:val="0"/>
          <w:caps w:val="0"/>
          <w:color w:val="auto"/>
          <w:spacing w:val="0"/>
          <w:sz w:val="32"/>
          <w:szCs w:val="32"/>
          <w:shd w:val="clear" w:color="auto" w:fill="FFFFFF"/>
        </w:rPr>
      </w:pPr>
      <w:r>
        <w:rPr>
          <w:rFonts w:hint="eastAsia" w:ascii="仿宋_GB2312" w:hAnsi="仿宋_GB2312" w:eastAsia="仿宋_GB2312" w:cs="仿宋_GB2312"/>
          <w:i w:val="0"/>
          <w:caps w:val="0"/>
          <w:color w:val="auto"/>
          <w:spacing w:val="0"/>
          <w:sz w:val="32"/>
          <w:szCs w:val="32"/>
          <w:shd w:val="clear" w:color="auto" w:fill="FFFFFF"/>
        </w:rPr>
        <w:t>本通知自</w:t>
      </w:r>
      <w:r>
        <w:rPr>
          <w:rFonts w:hint="eastAsia" w:ascii="仿宋_GB2312" w:hAnsi="仿宋_GB2312" w:eastAsia="仿宋_GB2312" w:cs="仿宋_GB2312"/>
          <w:i w:val="0"/>
          <w:caps w:val="0"/>
          <w:color w:val="auto"/>
          <w:spacing w:val="0"/>
          <w:sz w:val="32"/>
          <w:szCs w:val="32"/>
          <w:shd w:val="clear" w:color="auto" w:fill="FFFFFF"/>
          <w:lang w:eastAsia="zh-CN"/>
        </w:rPr>
        <w:t>印发之</w:t>
      </w:r>
      <w:r>
        <w:rPr>
          <w:rFonts w:hint="eastAsia" w:ascii="仿宋_GB2312" w:hAnsi="仿宋_GB2312" w:eastAsia="仿宋_GB2312" w:cs="仿宋_GB2312"/>
          <w:i w:val="0"/>
          <w:caps w:val="0"/>
          <w:color w:val="auto"/>
          <w:spacing w:val="0"/>
          <w:sz w:val="32"/>
          <w:szCs w:val="32"/>
          <w:shd w:val="clear" w:color="auto" w:fill="FFFFFF"/>
        </w:rPr>
        <w:t>日起施行。</w:t>
      </w:r>
    </w:p>
    <w:p w14:paraId="2F535C84">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rightChars="0" w:firstLine="640" w:firstLineChars="200"/>
        <w:jc w:val="both"/>
        <w:textAlignment w:val="auto"/>
        <w:rPr>
          <w:rFonts w:hint="eastAsia" w:ascii="仿宋_GB2312" w:hAnsi="仿宋_GB2312" w:eastAsia="仿宋_GB2312" w:cs="仿宋_GB2312"/>
          <w:i w:val="0"/>
          <w:caps w:val="0"/>
          <w:color w:val="auto"/>
          <w:spacing w:val="0"/>
          <w:sz w:val="32"/>
          <w:szCs w:val="32"/>
          <w:shd w:val="clear" w:color="auto" w:fill="FFFFFF"/>
          <w:lang w:eastAsia="zh-CN"/>
        </w:rPr>
      </w:pPr>
    </w:p>
    <w:p w14:paraId="0DD0EDD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rightChars="0" w:firstLine="640" w:firstLineChars="200"/>
        <w:jc w:val="both"/>
        <w:textAlignment w:val="auto"/>
        <w:rPr>
          <w:rFonts w:hint="eastAsia" w:ascii="仿宋_GB2312" w:hAnsi="仿宋_GB2312" w:eastAsia="仿宋_GB2312" w:cs="仿宋_GB2312"/>
          <w:i w:val="0"/>
          <w:caps w:val="0"/>
          <w:color w:val="auto"/>
          <w:spacing w:val="0"/>
          <w:sz w:val="32"/>
          <w:szCs w:val="32"/>
          <w:shd w:val="clear" w:color="auto" w:fill="FFFFFF"/>
          <w:lang w:eastAsia="zh-CN"/>
        </w:rPr>
      </w:pPr>
      <w:r>
        <w:rPr>
          <w:rFonts w:hint="eastAsia" w:ascii="仿宋_GB2312" w:hAnsi="仿宋_GB2312" w:eastAsia="仿宋_GB2312" w:cs="仿宋_GB2312"/>
          <w:i w:val="0"/>
          <w:caps w:val="0"/>
          <w:color w:val="auto"/>
          <w:spacing w:val="0"/>
          <w:sz w:val="32"/>
          <w:szCs w:val="32"/>
          <w:shd w:val="clear" w:color="auto" w:fill="FFFFFF"/>
          <w:lang w:eastAsia="zh-CN"/>
        </w:rPr>
        <w:t>附件：</w:t>
      </w:r>
      <w:r>
        <w:rPr>
          <w:rFonts w:hint="eastAsia" w:ascii="仿宋_GB2312" w:hAnsi="仿宋_GB2312" w:eastAsia="仿宋_GB2312" w:cs="仿宋_GB2312"/>
          <w:i w:val="0"/>
          <w:caps w:val="0"/>
          <w:color w:val="auto"/>
          <w:spacing w:val="0"/>
          <w:sz w:val="32"/>
          <w:szCs w:val="32"/>
          <w:shd w:val="clear" w:color="auto" w:fill="FFFFFF"/>
          <w:lang w:val="en-US" w:eastAsia="zh-CN"/>
        </w:rPr>
        <w:t>1.医疗保障</w:t>
      </w:r>
      <w:r>
        <w:rPr>
          <w:rFonts w:hint="eastAsia" w:ascii="仿宋_GB2312" w:hAnsi="仿宋_GB2312" w:eastAsia="仿宋_GB2312" w:cs="仿宋_GB2312"/>
          <w:i w:val="0"/>
          <w:caps w:val="0"/>
          <w:color w:val="auto"/>
          <w:spacing w:val="0"/>
          <w:sz w:val="32"/>
          <w:szCs w:val="32"/>
          <w:shd w:val="clear" w:color="auto" w:fill="FFFFFF"/>
        </w:rPr>
        <w:t>领域</w:t>
      </w:r>
      <w:r>
        <w:rPr>
          <w:rFonts w:hint="eastAsia" w:ascii="仿宋_GB2312" w:hAnsi="仿宋_GB2312" w:eastAsia="仿宋_GB2312" w:cs="仿宋_GB2312"/>
          <w:i w:val="0"/>
          <w:caps w:val="0"/>
          <w:color w:val="auto"/>
          <w:spacing w:val="0"/>
          <w:sz w:val="32"/>
          <w:szCs w:val="32"/>
          <w:shd w:val="clear" w:color="auto" w:fill="FFFFFF"/>
          <w:lang w:eastAsia="zh-CN"/>
        </w:rPr>
        <w:t>“</w:t>
      </w:r>
      <w:r>
        <w:rPr>
          <w:rFonts w:hint="eastAsia" w:ascii="仿宋_GB2312" w:hAnsi="仿宋_GB2312" w:eastAsia="仿宋_GB2312" w:cs="仿宋_GB2312"/>
          <w:i w:val="0"/>
          <w:caps w:val="0"/>
          <w:color w:val="auto"/>
          <w:spacing w:val="0"/>
          <w:sz w:val="32"/>
          <w:szCs w:val="32"/>
          <w:shd w:val="clear" w:color="auto" w:fill="FFFFFF"/>
        </w:rPr>
        <w:t>轻微违法</w:t>
      </w:r>
      <w:r>
        <w:rPr>
          <w:rFonts w:hint="eastAsia" w:ascii="仿宋_GB2312" w:hAnsi="仿宋_GB2312" w:eastAsia="仿宋_GB2312" w:cs="仿宋_GB2312"/>
          <w:i w:val="0"/>
          <w:caps w:val="0"/>
          <w:color w:val="auto"/>
          <w:spacing w:val="0"/>
          <w:sz w:val="32"/>
          <w:szCs w:val="32"/>
          <w:shd w:val="clear" w:color="auto" w:fill="FFFFFF"/>
          <w:lang w:val="en-US" w:eastAsia="zh-CN"/>
        </w:rPr>
        <w:t>不罚</w:t>
      </w:r>
      <w:r>
        <w:rPr>
          <w:rFonts w:hint="eastAsia" w:ascii="仿宋_GB2312" w:hAnsi="仿宋_GB2312" w:eastAsia="仿宋_GB2312" w:cs="仿宋_GB2312"/>
          <w:i w:val="0"/>
          <w:caps w:val="0"/>
          <w:color w:val="auto"/>
          <w:spacing w:val="0"/>
          <w:sz w:val="32"/>
          <w:szCs w:val="32"/>
          <w:shd w:val="clear" w:color="auto" w:fill="FFFFFF"/>
          <w:lang w:eastAsia="zh-CN"/>
        </w:rPr>
        <w:t>”</w:t>
      </w:r>
      <w:r>
        <w:rPr>
          <w:rFonts w:hint="eastAsia" w:ascii="仿宋_GB2312" w:hAnsi="仿宋_GB2312" w:eastAsia="仿宋_GB2312" w:cs="仿宋_GB2312"/>
          <w:i w:val="0"/>
          <w:caps w:val="0"/>
          <w:color w:val="auto"/>
          <w:spacing w:val="0"/>
          <w:sz w:val="32"/>
          <w:szCs w:val="32"/>
          <w:shd w:val="clear" w:color="auto" w:fill="FFFFFF"/>
        </w:rPr>
        <w:t>清单</w:t>
      </w:r>
    </w:p>
    <w:p w14:paraId="74625A81">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1600" w:leftChars="0" w:right="0" w:rightChars="0"/>
        <w:jc w:val="both"/>
        <w:textAlignment w:val="auto"/>
        <w:rPr>
          <w:rFonts w:hint="eastAsia" w:ascii="仿宋_GB2312" w:hAnsi="仿宋_GB2312" w:eastAsia="仿宋_GB2312" w:cs="仿宋_GB2312"/>
          <w:i w:val="0"/>
          <w:caps w:val="0"/>
          <w:color w:val="auto"/>
          <w:spacing w:val="0"/>
          <w:sz w:val="32"/>
          <w:szCs w:val="32"/>
          <w:shd w:val="clear" w:color="auto" w:fill="FFFFFF"/>
        </w:rPr>
      </w:pPr>
      <w:r>
        <w:rPr>
          <w:rFonts w:hint="eastAsia" w:ascii="仿宋_GB2312" w:hAnsi="仿宋_GB2312" w:eastAsia="仿宋_GB2312" w:cs="仿宋_GB2312"/>
          <w:i w:val="0"/>
          <w:caps w:val="0"/>
          <w:color w:val="auto"/>
          <w:spacing w:val="0"/>
          <w:sz w:val="32"/>
          <w:szCs w:val="32"/>
          <w:shd w:val="clear" w:color="auto" w:fill="FFFFFF"/>
          <w:lang w:val="en-US" w:eastAsia="zh-CN"/>
        </w:rPr>
        <w:t>2.医疗保障</w:t>
      </w:r>
      <w:r>
        <w:rPr>
          <w:rFonts w:hint="eastAsia" w:ascii="仿宋_GB2312" w:hAnsi="仿宋_GB2312" w:eastAsia="仿宋_GB2312" w:cs="仿宋_GB2312"/>
          <w:i w:val="0"/>
          <w:caps w:val="0"/>
          <w:color w:val="auto"/>
          <w:spacing w:val="0"/>
          <w:sz w:val="32"/>
          <w:szCs w:val="32"/>
          <w:shd w:val="clear" w:color="auto" w:fill="FFFFFF"/>
        </w:rPr>
        <w:t>领域</w:t>
      </w:r>
      <w:r>
        <w:rPr>
          <w:rFonts w:hint="eastAsia" w:ascii="仿宋_GB2312" w:hAnsi="仿宋_GB2312" w:eastAsia="仿宋_GB2312" w:cs="仿宋_GB2312"/>
          <w:i w:val="0"/>
          <w:caps w:val="0"/>
          <w:color w:val="auto"/>
          <w:spacing w:val="0"/>
          <w:sz w:val="32"/>
          <w:szCs w:val="32"/>
          <w:shd w:val="clear" w:color="auto" w:fill="FFFFFF"/>
          <w:lang w:eastAsia="zh-CN"/>
        </w:rPr>
        <w:t>“</w:t>
      </w:r>
      <w:r>
        <w:rPr>
          <w:rFonts w:hint="eastAsia" w:ascii="仿宋_GB2312" w:hAnsi="仿宋_GB2312" w:eastAsia="仿宋_GB2312" w:cs="仿宋_GB2312"/>
          <w:i w:val="0"/>
          <w:caps w:val="0"/>
          <w:color w:val="auto"/>
          <w:spacing w:val="0"/>
          <w:sz w:val="32"/>
          <w:szCs w:val="32"/>
          <w:shd w:val="clear" w:color="auto" w:fill="FFFFFF"/>
          <w:lang w:val="en-US" w:eastAsia="zh-CN"/>
        </w:rPr>
        <w:t>初次违法不罚”</w:t>
      </w:r>
      <w:r>
        <w:rPr>
          <w:rFonts w:hint="eastAsia" w:ascii="仿宋_GB2312" w:hAnsi="仿宋_GB2312" w:eastAsia="仿宋_GB2312" w:cs="仿宋_GB2312"/>
          <w:i w:val="0"/>
          <w:caps w:val="0"/>
          <w:color w:val="auto"/>
          <w:spacing w:val="0"/>
          <w:sz w:val="32"/>
          <w:szCs w:val="32"/>
          <w:shd w:val="clear" w:color="auto" w:fill="FFFFFF"/>
        </w:rPr>
        <w:t>清单</w:t>
      </w:r>
    </w:p>
    <w:p w14:paraId="7262E565">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1600" w:leftChars="0" w:right="0" w:rightChars="0"/>
        <w:jc w:val="both"/>
        <w:textAlignment w:val="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3.</w:t>
      </w:r>
      <w:bookmarkStart w:id="0" w:name="_Toc466172934_WPSOffice_Level1"/>
      <w:r>
        <w:rPr>
          <w:rFonts w:hint="eastAsia" w:ascii="仿宋_GB2312" w:hAnsi="仿宋_GB2312" w:eastAsia="仿宋_GB2312" w:cs="仿宋_GB2312"/>
          <w:i w:val="0"/>
          <w:caps w:val="0"/>
          <w:color w:val="auto"/>
          <w:spacing w:val="0"/>
          <w:sz w:val="32"/>
          <w:szCs w:val="32"/>
          <w:shd w:val="clear" w:color="auto" w:fill="FFFFFF"/>
          <w:lang w:val="en-US" w:eastAsia="zh-CN"/>
        </w:rPr>
        <w:t>守法诚信承诺书</w:t>
      </w:r>
      <w:bookmarkEnd w:id="0"/>
    </w:p>
    <w:p w14:paraId="13084BB4">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1600" w:leftChars="0" w:right="0" w:rightChars="0"/>
        <w:jc w:val="both"/>
        <w:textAlignment w:val="auto"/>
        <w:rPr>
          <w:rFonts w:hint="default" w:ascii="仿宋_GB2312" w:hAnsi="仿宋_GB2312" w:eastAsia="仿宋_GB2312" w:cs="仿宋_GB2312"/>
          <w:i w:val="0"/>
          <w:caps w:val="0"/>
          <w:color w:val="auto"/>
          <w:spacing w:val="0"/>
          <w:sz w:val="32"/>
          <w:szCs w:val="32"/>
          <w:shd w:val="clear" w:color="auto" w:fill="FFFFFF"/>
          <w:lang w:val="en-US" w:eastAsia="zh-CN"/>
        </w:rPr>
      </w:pPr>
    </w:p>
    <w:p w14:paraId="7DBD471F">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rightChars="0" w:firstLine="640" w:firstLineChars="200"/>
        <w:jc w:val="both"/>
        <w:textAlignment w:val="auto"/>
        <w:rPr>
          <w:rFonts w:hint="eastAsia" w:ascii="仿宋_GB2312" w:hAnsi="仿宋_GB2312" w:eastAsia="仿宋_GB2312" w:cs="仿宋_GB2312"/>
          <w:i w:val="0"/>
          <w:caps w:val="0"/>
          <w:color w:val="auto"/>
          <w:spacing w:val="0"/>
          <w:sz w:val="32"/>
          <w:szCs w:val="32"/>
          <w:shd w:val="clear" w:color="auto" w:fill="FFFFFF"/>
        </w:rPr>
      </w:pPr>
    </w:p>
    <w:p w14:paraId="3CF692B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rightChars="0" w:firstLine="640" w:firstLineChars="200"/>
        <w:jc w:val="both"/>
        <w:textAlignment w:val="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xml:space="preserve">                             </w:t>
      </w:r>
    </w:p>
    <w:p w14:paraId="352A4F0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5440" w:firstLineChars="1700"/>
        <w:jc w:val="both"/>
        <w:textAlignment w:val="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赣州市医疗保障局</w:t>
      </w:r>
    </w:p>
    <w:p w14:paraId="09AC4D7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rightChars="0" w:firstLine="640" w:firstLineChars="200"/>
        <w:jc w:val="both"/>
        <w:textAlignment w:val="auto"/>
        <w:rPr>
          <w:rFonts w:hint="eastAsia" w:ascii="仿宋_GB2312" w:hAnsi="仿宋_GB2312" w:eastAsia="仿宋_GB2312" w:cs="仿宋_GB2312"/>
          <w:i w:val="0"/>
          <w:caps w:val="0"/>
          <w:color w:val="auto"/>
          <w:spacing w:val="0"/>
          <w:sz w:val="32"/>
          <w:szCs w:val="32"/>
          <w:shd w:val="clear" w:color="auto" w:fill="FFFFFF"/>
          <w:lang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xml:space="preserve">                               2025年5月  日</w:t>
      </w:r>
    </w:p>
    <w:p w14:paraId="666C5625">
      <w:pPr>
        <w:keepNext w:val="0"/>
        <w:keepLines w:val="0"/>
        <w:pageBreakBefore w:val="0"/>
        <w:kinsoku/>
        <w:wordWrap/>
        <w:overflowPunct/>
        <w:topLinePunct w:val="0"/>
        <w:autoSpaceDE/>
        <w:autoSpaceDN/>
        <w:bidi w:val="0"/>
        <w:adjustRightInd/>
        <w:snapToGrid/>
        <w:spacing w:line="560" w:lineRule="exact"/>
        <w:ind w:right="0" w:rightChars="0"/>
        <w:textAlignment w:val="auto"/>
        <w:rPr>
          <w:rFonts w:hint="eastAsia" w:ascii="黑体" w:hAnsi="黑体" w:eastAsia="黑体" w:cs="黑体"/>
          <w:color w:val="000000"/>
          <w:sz w:val="32"/>
          <w:szCs w:val="32"/>
          <w:lang w:val="en-US" w:eastAsia="zh-CN"/>
        </w:rPr>
      </w:pPr>
    </w:p>
    <w:p w14:paraId="15799D6F">
      <w:pPr>
        <w:keepNext w:val="0"/>
        <w:keepLines w:val="0"/>
        <w:pageBreakBefore w:val="0"/>
        <w:kinsoku/>
        <w:wordWrap/>
        <w:overflowPunct/>
        <w:topLinePunct w:val="0"/>
        <w:autoSpaceDE/>
        <w:autoSpaceDN/>
        <w:bidi w:val="0"/>
        <w:adjustRightInd/>
        <w:snapToGrid/>
        <w:spacing w:line="560" w:lineRule="exact"/>
        <w:ind w:right="0" w:rightChars="0"/>
        <w:textAlignment w:val="auto"/>
        <w:rPr>
          <w:rFonts w:hint="eastAsia" w:ascii="黑体" w:hAnsi="黑体" w:eastAsia="黑体" w:cs="黑体"/>
          <w:color w:val="000000"/>
          <w:sz w:val="32"/>
          <w:szCs w:val="32"/>
          <w:lang w:val="en-US" w:eastAsia="zh-CN"/>
        </w:rPr>
      </w:pPr>
    </w:p>
    <w:p w14:paraId="352D0C8E">
      <w:pPr>
        <w:keepNext w:val="0"/>
        <w:keepLines w:val="0"/>
        <w:pageBreakBefore w:val="0"/>
        <w:kinsoku/>
        <w:wordWrap/>
        <w:overflowPunct/>
        <w:topLinePunct w:val="0"/>
        <w:autoSpaceDE/>
        <w:autoSpaceDN/>
        <w:bidi w:val="0"/>
        <w:adjustRightInd/>
        <w:snapToGrid/>
        <w:spacing w:line="560" w:lineRule="exact"/>
        <w:ind w:right="0" w:rightChars="0"/>
        <w:textAlignment w:val="auto"/>
        <w:rPr>
          <w:rFonts w:hint="eastAsia" w:ascii="黑体" w:hAnsi="黑体" w:eastAsia="黑体" w:cs="黑体"/>
          <w:color w:val="000000"/>
          <w:sz w:val="32"/>
          <w:szCs w:val="32"/>
          <w:lang w:val="en-US" w:eastAsia="zh-CN"/>
        </w:rPr>
      </w:pPr>
    </w:p>
    <w:p w14:paraId="7A267212">
      <w:pPr>
        <w:keepNext w:val="0"/>
        <w:keepLines w:val="0"/>
        <w:pageBreakBefore w:val="0"/>
        <w:kinsoku/>
        <w:wordWrap/>
        <w:overflowPunct/>
        <w:topLinePunct w:val="0"/>
        <w:autoSpaceDE/>
        <w:autoSpaceDN/>
        <w:bidi w:val="0"/>
        <w:adjustRightInd/>
        <w:snapToGrid/>
        <w:spacing w:line="560" w:lineRule="exact"/>
        <w:ind w:right="0" w:rightChars="0"/>
        <w:textAlignment w:val="auto"/>
        <w:rPr>
          <w:rFonts w:hint="eastAsia" w:ascii="黑体" w:hAnsi="黑体" w:eastAsia="黑体" w:cs="黑体"/>
          <w:color w:val="000000"/>
          <w:sz w:val="32"/>
          <w:szCs w:val="32"/>
          <w:lang w:val="en-US" w:eastAsia="zh-CN"/>
        </w:rPr>
      </w:pPr>
    </w:p>
    <w:p w14:paraId="74FF37C7">
      <w:pPr>
        <w:keepNext w:val="0"/>
        <w:keepLines w:val="0"/>
        <w:pageBreakBefore w:val="0"/>
        <w:kinsoku/>
        <w:wordWrap/>
        <w:overflowPunct/>
        <w:topLinePunct w:val="0"/>
        <w:autoSpaceDE/>
        <w:autoSpaceDN/>
        <w:bidi w:val="0"/>
        <w:adjustRightInd/>
        <w:snapToGrid/>
        <w:spacing w:line="560" w:lineRule="exact"/>
        <w:ind w:right="0" w:rightChars="0"/>
        <w:textAlignment w:val="auto"/>
        <w:rPr>
          <w:rFonts w:hint="eastAsia" w:ascii="黑体" w:hAnsi="黑体" w:eastAsia="黑体" w:cs="黑体"/>
          <w:color w:val="000000"/>
          <w:sz w:val="32"/>
          <w:szCs w:val="32"/>
          <w:lang w:val="en-US" w:eastAsia="zh-CN"/>
        </w:rPr>
      </w:pPr>
    </w:p>
    <w:p w14:paraId="08ECBC53">
      <w:pPr>
        <w:keepNext w:val="0"/>
        <w:keepLines w:val="0"/>
        <w:pageBreakBefore w:val="0"/>
        <w:kinsoku/>
        <w:wordWrap/>
        <w:overflowPunct/>
        <w:topLinePunct w:val="0"/>
        <w:autoSpaceDE/>
        <w:autoSpaceDN/>
        <w:bidi w:val="0"/>
        <w:adjustRightInd/>
        <w:snapToGrid/>
        <w:spacing w:line="560" w:lineRule="exact"/>
        <w:ind w:right="0" w:rightChars="0"/>
        <w:textAlignment w:val="auto"/>
        <w:rPr>
          <w:rFonts w:hint="eastAsia" w:ascii="黑体" w:hAnsi="黑体" w:eastAsia="黑体" w:cs="黑体"/>
          <w:color w:val="000000"/>
          <w:sz w:val="32"/>
          <w:szCs w:val="32"/>
          <w:lang w:val="en-US" w:eastAsia="zh-CN"/>
        </w:rPr>
      </w:pPr>
    </w:p>
    <w:p w14:paraId="08826E42">
      <w:pPr>
        <w:keepNext w:val="0"/>
        <w:keepLines w:val="0"/>
        <w:pageBreakBefore w:val="0"/>
        <w:kinsoku/>
        <w:wordWrap/>
        <w:overflowPunct/>
        <w:topLinePunct w:val="0"/>
        <w:autoSpaceDE/>
        <w:autoSpaceDN/>
        <w:bidi w:val="0"/>
        <w:adjustRightInd/>
        <w:snapToGrid/>
        <w:spacing w:line="560" w:lineRule="exact"/>
        <w:ind w:right="0" w:rightChars="0"/>
        <w:textAlignment w:val="auto"/>
        <w:rPr>
          <w:rFonts w:hint="eastAsia" w:ascii="黑体" w:hAnsi="黑体" w:eastAsia="黑体" w:cs="黑体"/>
          <w:color w:val="000000"/>
          <w:sz w:val="32"/>
          <w:szCs w:val="32"/>
          <w:lang w:val="en-US" w:eastAsia="zh-CN"/>
        </w:rPr>
      </w:pPr>
    </w:p>
    <w:p w14:paraId="0416ADB5">
      <w:pPr>
        <w:pStyle w:val="2"/>
        <w:rPr>
          <w:rFonts w:hint="eastAsia" w:ascii="黑体" w:hAnsi="黑体" w:eastAsia="黑体" w:cs="黑体"/>
          <w:color w:val="000000"/>
          <w:sz w:val="32"/>
          <w:szCs w:val="32"/>
          <w:lang w:val="en-US" w:eastAsia="zh-CN"/>
        </w:rPr>
      </w:pPr>
    </w:p>
    <w:p w14:paraId="35C0FEED">
      <w:pPr>
        <w:pStyle w:val="2"/>
        <w:rPr>
          <w:rFonts w:hint="eastAsia" w:ascii="黑体" w:hAnsi="黑体" w:eastAsia="黑体" w:cs="黑体"/>
          <w:color w:val="000000"/>
          <w:sz w:val="32"/>
          <w:szCs w:val="32"/>
          <w:lang w:val="en-US" w:eastAsia="zh-CN"/>
        </w:rPr>
      </w:pPr>
    </w:p>
    <w:p w14:paraId="41131256">
      <w:pPr>
        <w:keepNext w:val="0"/>
        <w:keepLines w:val="0"/>
        <w:pageBreakBefore w:val="0"/>
        <w:kinsoku/>
        <w:wordWrap/>
        <w:overflowPunct/>
        <w:topLinePunct w:val="0"/>
        <w:autoSpaceDE/>
        <w:autoSpaceDN/>
        <w:bidi w:val="0"/>
        <w:adjustRightInd/>
        <w:snapToGrid/>
        <w:spacing w:line="560" w:lineRule="exact"/>
        <w:ind w:right="0" w:rightChars="0"/>
        <w:textAlignment w:val="auto"/>
        <w:rPr>
          <w:rFonts w:hint="default"/>
          <w:lang w:val="en-US" w:eastAsia="zh-CN"/>
        </w:rPr>
      </w:pPr>
      <w:r>
        <w:rPr>
          <w:rFonts w:hint="eastAsia" w:ascii="黑体" w:hAnsi="黑体" w:eastAsia="黑体" w:cs="黑体"/>
          <w:color w:val="000000"/>
          <w:sz w:val="32"/>
          <w:szCs w:val="32"/>
          <w:lang w:val="en-US" w:eastAsia="zh-CN"/>
        </w:rPr>
        <w:t>附件</w:t>
      </w:r>
      <w:r>
        <w:rPr>
          <w:rFonts w:hint="eastAsia" w:ascii="黑体" w:hAnsi="黑体" w:eastAsia="黑体" w:cs="黑体"/>
          <w:sz w:val="32"/>
          <w:szCs w:val="32"/>
          <w:lang w:val="en-US" w:eastAsia="zh-CN"/>
        </w:rPr>
        <w:t>1</w:t>
      </w:r>
    </w:p>
    <w:p w14:paraId="6C7C8565">
      <w:pPr>
        <w:keepNext w:val="0"/>
        <w:keepLines w:val="0"/>
        <w:pageBreakBefore w:val="0"/>
        <w:kinsoku/>
        <w:wordWrap/>
        <w:overflowPunct/>
        <w:topLinePunct w:val="0"/>
        <w:autoSpaceDE/>
        <w:autoSpaceDN/>
        <w:bidi w:val="0"/>
        <w:adjustRightInd/>
        <w:snapToGrid/>
        <w:spacing w:line="560" w:lineRule="exact"/>
        <w:ind w:right="0" w:rightChars="0"/>
        <w:jc w:val="center"/>
        <w:textAlignment w:val="auto"/>
        <w:rPr>
          <w:rFonts w:hint="eastAsia" w:ascii="方正小标宋简体" w:hAnsi="方正小标宋简体" w:eastAsia="方正小标宋简体" w:cs="方正小标宋简体"/>
          <w:color w:val="000000"/>
          <w:sz w:val="36"/>
          <w:szCs w:val="36"/>
        </w:rPr>
      </w:pPr>
      <w:r>
        <w:rPr>
          <w:rFonts w:hint="eastAsia" w:ascii="方正小标宋简体" w:hAnsi="方正小标宋简体" w:eastAsia="方正小标宋简体" w:cs="方正小标宋简体"/>
          <w:color w:val="000000"/>
          <w:sz w:val="36"/>
          <w:szCs w:val="36"/>
          <w:lang w:val="en-US" w:eastAsia="zh-CN"/>
        </w:rPr>
        <w:t>医疗保障</w:t>
      </w:r>
      <w:r>
        <w:rPr>
          <w:rFonts w:hint="eastAsia" w:ascii="方正小标宋简体" w:hAnsi="方正小标宋简体" w:eastAsia="方正小标宋简体" w:cs="方正小标宋简体"/>
          <w:color w:val="000000"/>
          <w:sz w:val="36"/>
          <w:szCs w:val="36"/>
        </w:rPr>
        <w:t>领域</w:t>
      </w:r>
      <w:r>
        <w:rPr>
          <w:rFonts w:hint="eastAsia" w:ascii="方正小标宋简体" w:hAnsi="方正小标宋简体" w:eastAsia="方正小标宋简体" w:cs="方正小标宋简体"/>
          <w:color w:val="000000"/>
          <w:sz w:val="36"/>
          <w:szCs w:val="36"/>
          <w:lang w:val="en-US" w:eastAsia="zh-CN"/>
        </w:rPr>
        <w:t>“轻微违法不罚</w:t>
      </w:r>
      <w:r>
        <w:rPr>
          <w:rFonts w:hint="default" w:ascii="方正小标宋简体" w:hAnsi="方正小标宋简体" w:eastAsia="方正小标宋简体" w:cs="方正小标宋简体"/>
          <w:color w:val="000000"/>
          <w:sz w:val="36"/>
          <w:szCs w:val="36"/>
          <w:lang w:val="en-US" w:eastAsia="zh-CN"/>
        </w:rPr>
        <w:t>”</w:t>
      </w:r>
      <w:r>
        <w:rPr>
          <w:rFonts w:hint="eastAsia" w:ascii="方正小标宋简体" w:hAnsi="方正小标宋简体" w:eastAsia="方正小标宋简体" w:cs="方正小标宋简体"/>
          <w:color w:val="000000"/>
          <w:sz w:val="36"/>
          <w:szCs w:val="36"/>
        </w:rPr>
        <w:t>清单</w:t>
      </w:r>
    </w:p>
    <w:p w14:paraId="1422CA35">
      <w:pPr>
        <w:keepNext w:val="0"/>
        <w:keepLines w:val="0"/>
        <w:pageBreakBefore w:val="0"/>
        <w:kinsoku/>
        <w:wordWrap/>
        <w:overflowPunct/>
        <w:topLinePunct w:val="0"/>
        <w:autoSpaceDE/>
        <w:autoSpaceDN/>
        <w:bidi w:val="0"/>
        <w:adjustRightInd/>
        <w:snapToGrid/>
        <w:spacing w:line="560" w:lineRule="exact"/>
        <w:ind w:right="0" w:rightChars="0"/>
        <w:jc w:val="center"/>
        <w:textAlignment w:val="auto"/>
        <w:rPr>
          <w:rFonts w:hint="eastAsia" w:ascii="方正小标宋简体" w:hAnsi="方正小标宋简体" w:eastAsia="方正小标宋简体" w:cs="方正小标宋简体"/>
          <w:color w:val="000000"/>
          <w:sz w:val="36"/>
          <w:szCs w:val="36"/>
        </w:rPr>
      </w:pPr>
    </w:p>
    <w:tbl>
      <w:tblPr>
        <w:tblStyle w:val="6"/>
        <w:tblW w:w="0" w:type="auto"/>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748"/>
        <w:gridCol w:w="4044"/>
        <w:gridCol w:w="2255"/>
        <w:gridCol w:w="1399"/>
      </w:tblGrid>
      <w:tr w14:paraId="117DC1D5">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14" w:hRule="atLeast"/>
          <w:jc w:val="center"/>
        </w:trPr>
        <w:tc>
          <w:tcPr>
            <w:tcW w:w="748" w:type="dxa"/>
            <w:tcBorders>
              <w:top w:val="single" w:color="000000" w:sz="4" w:space="0"/>
              <w:left w:val="single" w:color="000000" w:sz="4" w:space="0"/>
              <w:bottom w:val="single" w:color="000000" w:sz="4" w:space="0"/>
              <w:right w:val="single" w:color="000000" w:sz="4" w:space="0"/>
            </w:tcBorders>
            <w:shd w:val="clear" w:color="auto" w:fill="FFFFFF"/>
            <w:noWrap w:val="0"/>
            <w:tcMar>
              <w:left w:w="70" w:type="dxa"/>
              <w:right w:w="70" w:type="dxa"/>
            </w:tcMar>
            <w:vAlign w:val="center"/>
          </w:tcPr>
          <w:p w14:paraId="28A0B261">
            <w:pPr>
              <w:keepNext w:val="0"/>
              <w:keepLines w:val="0"/>
              <w:pageBreakBefore w:val="0"/>
              <w:kinsoku/>
              <w:wordWrap/>
              <w:overflowPunct/>
              <w:topLinePunct w:val="0"/>
              <w:autoSpaceDE/>
              <w:autoSpaceDN/>
              <w:bidi w:val="0"/>
              <w:adjustRightInd/>
              <w:snapToGrid/>
              <w:spacing w:line="560" w:lineRule="exact"/>
              <w:ind w:right="0" w:rightChars="0"/>
              <w:jc w:val="center"/>
              <w:textAlignment w:val="auto"/>
              <w:rPr>
                <w:rFonts w:hint="eastAsia" w:ascii="黑体" w:hAnsi="黑体" w:eastAsia="黑体" w:cs="黑体"/>
                <w:color w:val="000000"/>
                <w:sz w:val="28"/>
                <w:szCs w:val="28"/>
              </w:rPr>
            </w:pPr>
            <w:r>
              <w:rPr>
                <w:rFonts w:hint="eastAsia" w:ascii="黑体" w:hAnsi="黑体" w:eastAsia="黑体" w:cs="黑体"/>
                <w:color w:val="000000"/>
                <w:sz w:val="28"/>
                <w:szCs w:val="28"/>
              </w:rPr>
              <w:t>序号</w:t>
            </w:r>
          </w:p>
        </w:tc>
        <w:tc>
          <w:tcPr>
            <w:tcW w:w="4044" w:type="dxa"/>
            <w:tcBorders>
              <w:top w:val="single" w:color="000000" w:sz="4" w:space="0"/>
              <w:left w:val="nil"/>
              <w:bottom w:val="single" w:color="000000" w:sz="4" w:space="0"/>
              <w:right w:val="single" w:color="000000" w:sz="4" w:space="0"/>
            </w:tcBorders>
            <w:shd w:val="clear" w:color="auto" w:fill="FFFFFF"/>
            <w:noWrap w:val="0"/>
            <w:tcMar>
              <w:left w:w="70" w:type="dxa"/>
              <w:right w:w="70" w:type="dxa"/>
            </w:tcMar>
            <w:vAlign w:val="center"/>
          </w:tcPr>
          <w:p w14:paraId="34C7AB02">
            <w:pPr>
              <w:keepNext w:val="0"/>
              <w:keepLines w:val="0"/>
              <w:pageBreakBefore w:val="0"/>
              <w:kinsoku/>
              <w:wordWrap/>
              <w:overflowPunct/>
              <w:topLinePunct w:val="0"/>
              <w:autoSpaceDE/>
              <w:autoSpaceDN/>
              <w:bidi w:val="0"/>
              <w:adjustRightInd/>
              <w:snapToGrid/>
              <w:spacing w:line="560" w:lineRule="exact"/>
              <w:ind w:right="0" w:rightChars="0"/>
              <w:jc w:val="center"/>
              <w:textAlignment w:val="auto"/>
              <w:rPr>
                <w:rFonts w:hint="eastAsia" w:ascii="黑体" w:hAnsi="黑体" w:eastAsia="黑体" w:cs="黑体"/>
                <w:color w:val="000000"/>
                <w:sz w:val="28"/>
                <w:szCs w:val="28"/>
              </w:rPr>
            </w:pPr>
            <w:r>
              <w:rPr>
                <w:rFonts w:hint="eastAsia" w:ascii="黑体" w:hAnsi="黑体" w:eastAsia="黑体" w:cs="黑体"/>
                <w:color w:val="000000"/>
                <w:sz w:val="28"/>
                <w:szCs w:val="28"/>
              </w:rPr>
              <w:t>违法行为</w:t>
            </w:r>
          </w:p>
        </w:tc>
        <w:tc>
          <w:tcPr>
            <w:tcW w:w="2255" w:type="dxa"/>
            <w:tcBorders>
              <w:top w:val="single" w:color="000000" w:sz="4" w:space="0"/>
              <w:left w:val="nil"/>
              <w:bottom w:val="single" w:color="000000" w:sz="4" w:space="0"/>
              <w:right w:val="single" w:color="000000" w:sz="4" w:space="0"/>
            </w:tcBorders>
            <w:shd w:val="clear" w:color="auto" w:fill="FFFFFF"/>
            <w:noWrap w:val="0"/>
            <w:tcMar>
              <w:left w:w="70" w:type="dxa"/>
              <w:right w:w="70" w:type="dxa"/>
            </w:tcMar>
            <w:vAlign w:val="center"/>
          </w:tcPr>
          <w:p w14:paraId="3F829F14">
            <w:pPr>
              <w:keepNext w:val="0"/>
              <w:keepLines w:val="0"/>
              <w:pageBreakBefore w:val="0"/>
              <w:kinsoku/>
              <w:wordWrap/>
              <w:overflowPunct/>
              <w:topLinePunct w:val="0"/>
              <w:autoSpaceDE/>
              <w:autoSpaceDN/>
              <w:bidi w:val="0"/>
              <w:adjustRightInd/>
              <w:snapToGrid/>
              <w:spacing w:line="560" w:lineRule="exact"/>
              <w:ind w:right="0" w:rightChars="0"/>
              <w:jc w:val="center"/>
              <w:textAlignment w:val="auto"/>
              <w:rPr>
                <w:rFonts w:hint="eastAsia" w:ascii="黑体" w:hAnsi="黑体" w:eastAsia="黑体" w:cs="黑体"/>
                <w:color w:val="000000"/>
                <w:sz w:val="28"/>
                <w:szCs w:val="28"/>
              </w:rPr>
            </w:pPr>
            <w:r>
              <w:rPr>
                <w:rFonts w:hint="eastAsia" w:ascii="黑体" w:hAnsi="黑体" w:eastAsia="黑体" w:cs="黑体"/>
                <w:color w:val="000000"/>
                <w:sz w:val="28"/>
                <w:szCs w:val="28"/>
                <w:lang w:eastAsia="zh-CN"/>
              </w:rPr>
              <w:t>适用</w:t>
            </w:r>
            <w:r>
              <w:rPr>
                <w:rFonts w:hint="eastAsia" w:ascii="黑体" w:hAnsi="黑体" w:eastAsia="黑体" w:cs="黑体"/>
                <w:color w:val="000000"/>
                <w:sz w:val="28"/>
                <w:szCs w:val="28"/>
              </w:rPr>
              <w:t>条件</w:t>
            </w:r>
          </w:p>
        </w:tc>
        <w:tc>
          <w:tcPr>
            <w:tcW w:w="1399" w:type="dxa"/>
            <w:tcBorders>
              <w:top w:val="single" w:color="000000" w:sz="4" w:space="0"/>
              <w:left w:val="nil"/>
              <w:bottom w:val="single" w:color="000000" w:sz="4" w:space="0"/>
              <w:right w:val="single" w:color="000000" w:sz="4" w:space="0"/>
            </w:tcBorders>
            <w:shd w:val="clear" w:color="auto" w:fill="FFFFFF"/>
            <w:noWrap w:val="0"/>
            <w:tcMar>
              <w:left w:w="70" w:type="dxa"/>
              <w:right w:w="70" w:type="dxa"/>
            </w:tcMar>
            <w:vAlign w:val="center"/>
          </w:tcPr>
          <w:p w14:paraId="0C53CA23">
            <w:pPr>
              <w:keepNext w:val="0"/>
              <w:keepLines w:val="0"/>
              <w:pageBreakBefore w:val="0"/>
              <w:kinsoku/>
              <w:wordWrap/>
              <w:overflowPunct/>
              <w:topLinePunct w:val="0"/>
              <w:autoSpaceDE/>
              <w:autoSpaceDN/>
              <w:bidi w:val="0"/>
              <w:adjustRightInd/>
              <w:snapToGrid/>
              <w:spacing w:line="560" w:lineRule="exact"/>
              <w:ind w:right="0" w:rightChars="0"/>
              <w:jc w:val="center"/>
              <w:textAlignment w:val="auto"/>
              <w:rPr>
                <w:rFonts w:hint="eastAsia" w:ascii="黑体" w:hAnsi="黑体" w:eastAsia="黑体" w:cs="黑体"/>
                <w:color w:val="000000"/>
                <w:sz w:val="28"/>
                <w:szCs w:val="28"/>
              </w:rPr>
            </w:pPr>
            <w:r>
              <w:rPr>
                <w:rFonts w:hint="eastAsia" w:ascii="黑体" w:hAnsi="黑体" w:eastAsia="黑体" w:cs="黑体"/>
                <w:color w:val="000000"/>
                <w:sz w:val="28"/>
                <w:szCs w:val="28"/>
              </w:rPr>
              <w:t>法律依据</w:t>
            </w:r>
          </w:p>
        </w:tc>
      </w:tr>
      <w:tr w14:paraId="08DC8C90">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7166" w:hRule="exact"/>
          <w:jc w:val="center"/>
        </w:trPr>
        <w:tc>
          <w:tcPr>
            <w:tcW w:w="748" w:type="dxa"/>
            <w:tcBorders>
              <w:top w:val="nil"/>
              <w:left w:val="single" w:color="000000" w:sz="4" w:space="0"/>
              <w:bottom w:val="single" w:color="000000" w:sz="4" w:space="0"/>
              <w:right w:val="single" w:color="000000" w:sz="4" w:space="0"/>
            </w:tcBorders>
            <w:shd w:val="clear" w:color="auto" w:fill="FFFFFF"/>
            <w:noWrap w:val="0"/>
            <w:tcMar>
              <w:left w:w="70" w:type="dxa"/>
              <w:right w:w="70" w:type="dxa"/>
            </w:tcMar>
            <w:vAlign w:val="center"/>
          </w:tcPr>
          <w:p w14:paraId="06D423B9">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eastAsia" w:eastAsia="宋体"/>
                <w:color w:val="000000"/>
                <w:lang w:val="en-US" w:eastAsia="zh-CN"/>
              </w:rPr>
            </w:pPr>
            <w:r>
              <w:rPr>
                <w:rFonts w:hint="eastAsia"/>
                <w:color w:val="000000"/>
                <w:lang w:val="en-US" w:eastAsia="zh-CN"/>
              </w:rPr>
              <w:t>1</w:t>
            </w:r>
          </w:p>
        </w:tc>
        <w:tc>
          <w:tcPr>
            <w:tcW w:w="4044" w:type="dxa"/>
            <w:tcBorders>
              <w:top w:val="nil"/>
              <w:left w:val="nil"/>
              <w:bottom w:val="single" w:color="000000" w:sz="4" w:space="0"/>
              <w:right w:val="single" w:color="000000" w:sz="4" w:space="0"/>
            </w:tcBorders>
            <w:shd w:val="clear" w:color="auto" w:fill="FFFFFF"/>
            <w:noWrap w:val="0"/>
            <w:tcMar>
              <w:left w:w="70" w:type="dxa"/>
              <w:right w:w="70" w:type="dxa"/>
            </w:tcMar>
            <w:vAlign w:val="center"/>
          </w:tcPr>
          <w:p w14:paraId="0703ABBD">
            <w:pPr>
              <w:keepNext w:val="0"/>
              <w:keepLines w:val="0"/>
              <w:pageBreakBefore w:val="0"/>
              <w:widowControl w:val="0"/>
              <w:kinsoku/>
              <w:wordWrap/>
              <w:overflowPunct/>
              <w:topLinePunct w:val="0"/>
              <w:autoSpaceDE/>
              <w:autoSpaceDN/>
              <w:bidi w:val="0"/>
              <w:adjustRightInd/>
              <w:snapToGrid/>
              <w:spacing w:line="400" w:lineRule="exact"/>
              <w:ind w:right="0" w:rightChars="0"/>
              <w:textAlignment w:val="auto"/>
              <w:rPr>
                <w:color w:val="000000"/>
              </w:rPr>
            </w:pPr>
            <w:r>
              <w:rPr>
                <w:rFonts w:hint="eastAsia"/>
              </w:rPr>
              <w:t>（一）分解住院、挂床住院；（二）违反诊疗规范过度诊疗、过度检查、分解处方、超量开药、重复开药或者提供其他不必要的医药服务；（三）重复收费、超标准收费、分解项目收费；（四）串换药品、医用耗材、诊疗项目和服务设施；（五）为参保人员利用其享受医疗保障待遇的机会转卖药品，接受返还现金、实物或者获得其他非法利益提供便利；（六）将不属于医保基金支付范围的医药费用纳入医保基金结算；（七）造成医保基金损失的其他违法行为。</w:t>
            </w:r>
          </w:p>
        </w:tc>
        <w:tc>
          <w:tcPr>
            <w:tcW w:w="2255" w:type="dxa"/>
            <w:tcBorders>
              <w:top w:val="nil"/>
              <w:left w:val="nil"/>
              <w:bottom w:val="single" w:color="000000" w:sz="4" w:space="0"/>
              <w:right w:val="single" w:color="000000" w:sz="4" w:space="0"/>
            </w:tcBorders>
            <w:shd w:val="clear" w:color="auto" w:fill="FFFFFF"/>
            <w:noWrap w:val="0"/>
            <w:tcMar>
              <w:left w:w="70" w:type="dxa"/>
              <w:right w:w="70" w:type="dxa"/>
            </w:tcMar>
            <w:vAlign w:val="center"/>
          </w:tcPr>
          <w:p w14:paraId="1EAEE62B">
            <w:pPr>
              <w:keepNext w:val="0"/>
              <w:keepLines w:val="0"/>
              <w:pageBreakBefore w:val="0"/>
              <w:widowControl w:val="0"/>
              <w:kinsoku/>
              <w:wordWrap/>
              <w:overflowPunct/>
              <w:topLinePunct w:val="0"/>
              <w:autoSpaceDE/>
              <w:autoSpaceDN/>
              <w:bidi w:val="0"/>
              <w:adjustRightInd/>
              <w:snapToGrid/>
              <w:spacing w:line="400" w:lineRule="exact"/>
              <w:ind w:right="0" w:rightChars="0"/>
              <w:textAlignment w:val="auto"/>
              <w:rPr>
                <w:rFonts w:hint="eastAsia"/>
                <w:color w:val="000000"/>
              </w:rPr>
            </w:pPr>
            <w:r>
              <w:rPr>
                <w:rFonts w:hint="eastAsia"/>
                <w:color w:val="000000"/>
                <w:lang w:val="en-US" w:eastAsia="zh-CN"/>
              </w:rPr>
              <w:t>1.</w:t>
            </w:r>
            <w:r>
              <w:rPr>
                <w:rFonts w:hint="eastAsia"/>
                <w:color w:val="000000"/>
                <w:lang w:eastAsia="zh-CN"/>
              </w:rPr>
              <w:t>赣州市医疗保障行政部门开展现场检查前，</w:t>
            </w:r>
            <w:r>
              <w:rPr>
                <w:rFonts w:hint="eastAsia"/>
                <w:color w:val="000000"/>
              </w:rPr>
              <w:t>定点医药机构主动自查自纠发现并及时退回</w:t>
            </w:r>
            <w:r>
              <w:rPr>
                <w:rFonts w:hint="eastAsia"/>
                <w:color w:val="000000"/>
                <w:lang w:eastAsia="zh-CN"/>
              </w:rPr>
              <w:t>医疗保障基金</w:t>
            </w:r>
            <w:r>
              <w:rPr>
                <w:rFonts w:hint="eastAsia"/>
                <w:color w:val="000000"/>
              </w:rPr>
              <w:t>的。</w:t>
            </w:r>
          </w:p>
          <w:p w14:paraId="111C7BF3">
            <w:pPr>
              <w:keepNext w:val="0"/>
              <w:keepLines w:val="0"/>
              <w:pageBreakBefore w:val="0"/>
              <w:widowControl w:val="0"/>
              <w:kinsoku/>
              <w:wordWrap/>
              <w:overflowPunct/>
              <w:topLinePunct w:val="0"/>
              <w:autoSpaceDE/>
              <w:autoSpaceDN/>
              <w:bidi w:val="0"/>
              <w:adjustRightInd/>
              <w:snapToGrid/>
              <w:spacing w:line="400" w:lineRule="exact"/>
              <w:ind w:right="0" w:rightChars="0"/>
              <w:textAlignment w:val="auto"/>
              <w:rPr>
                <w:color w:val="000000"/>
              </w:rPr>
            </w:pPr>
            <w:r>
              <w:rPr>
                <w:rFonts w:hint="eastAsia"/>
                <w:color w:val="000000"/>
              </w:rPr>
              <w:t>2.在行政检查中发现的违规行为，同时满足以下情形的，约谈有关负责人：①首次出现；②属于个别人或个别部门行为；③造成医保基金损失</w:t>
            </w:r>
            <w:r>
              <w:rPr>
                <w:rFonts w:hint="eastAsia"/>
                <w:color w:val="000000"/>
                <w:lang w:val="en-US" w:eastAsia="zh-CN"/>
              </w:rPr>
              <w:t>5</w:t>
            </w:r>
            <w:r>
              <w:rPr>
                <w:rFonts w:hint="eastAsia"/>
                <w:color w:val="000000"/>
              </w:rPr>
              <w:t>000元</w:t>
            </w:r>
            <w:r>
              <w:rPr>
                <w:rFonts w:hint="eastAsia"/>
                <w:color w:val="000000"/>
                <w:lang w:val="en-US" w:eastAsia="zh-CN"/>
              </w:rPr>
              <w:t>以下或者不超过该定点医药机构上年度医疗保障基金支付总额的0.05</w:t>
            </w:r>
            <w:r>
              <w:rPr>
                <w:rFonts w:hint="default"/>
                <w:color w:val="000000"/>
                <w:lang w:val="en-US" w:eastAsia="zh-CN"/>
              </w:rPr>
              <w:t>％</w:t>
            </w:r>
            <w:r>
              <w:rPr>
                <w:rFonts w:hint="eastAsia"/>
                <w:color w:val="000000"/>
                <w:lang w:val="en-US" w:eastAsia="zh-CN"/>
              </w:rPr>
              <w:t>以下</w:t>
            </w:r>
            <w:r>
              <w:rPr>
                <w:rFonts w:hint="eastAsia"/>
                <w:color w:val="000000"/>
              </w:rPr>
              <w:t>；④未发现以骗取医保基金为目的；⑤及时退回。</w:t>
            </w:r>
          </w:p>
        </w:tc>
        <w:tc>
          <w:tcPr>
            <w:tcW w:w="1399" w:type="dxa"/>
            <w:tcBorders>
              <w:top w:val="nil"/>
              <w:left w:val="nil"/>
              <w:bottom w:val="nil"/>
              <w:right w:val="single" w:color="000000" w:sz="4" w:space="0"/>
            </w:tcBorders>
            <w:shd w:val="clear" w:color="auto" w:fill="FFFFFF"/>
            <w:noWrap w:val="0"/>
            <w:tcMar>
              <w:left w:w="70" w:type="dxa"/>
              <w:right w:w="70" w:type="dxa"/>
            </w:tcMar>
            <w:vAlign w:val="center"/>
          </w:tcPr>
          <w:p w14:paraId="10184A1D">
            <w:pPr>
              <w:keepNext w:val="0"/>
              <w:keepLines w:val="0"/>
              <w:pageBreakBefore w:val="0"/>
              <w:widowControl w:val="0"/>
              <w:kinsoku/>
              <w:wordWrap/>
              <w:overflowPunct/>
              <w:topLinePunct w:val="0"/>
              <w:autoSpaceDE/>
              <w:autoSpaceDN/>
              <w:bidi w:val="0"/>
              <w:adjustRightInd/>
              <w:snapToGrid/>
              <w:spacing w:line="400" w:lineRule="exact"/>
              <w:ind w:right="0" w:rightChars="0"/>
              <w:textAlignment w:val="auto"/>
              <w:rPr>
                <w:rFonts w:hint="default" w:eastAsia="宋体"/>
                <w:color w:val="000000"/>
                <w:lang w:val="en-US" w:eastAsia="zh-CN"/>
              </w:rPr>
            </w:pPr>
            <w:r>
              <w:rPr>
                <w:rFonts w:hint="eastAsia"/>
                <w:color w:val="000000"/>
                <w:lang w:val="en-US" w:eastAsia="zh-CN"/>
              </w:rPr>
              <w:t>1.《行政处罚法》第三十三条第一款2.</w:t>
            </w:r>
            <w:r>
              <w:rPr>
                <w:rFonts w:hint="eastAsia"/>
                <w:color w:val="000000"/>
              </w:rPr>
              <w:t>《医疗保障基金使用监督管理条例》</w:t>
            </w:r>
            <w:r>
              <w:rPr>
                <w:rFonts w:hint="eastAsia"/>
                <w:color w:val="000000"/>
                <w:lang w:eastAsia="zh-CN"/>
              </w:rPr>
              <w:t>第十五条、第十九条第二款、第三十八条。</w:t>
            </w:r>
          </w:p>
        </w:tc>
      </w:tr>
      <w:tr w14:paraId="0C124358">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681" w:hRule="exact"/>
          <w:jc w:val="center"/>
        </w:trPr>
        <w:tc>
          <w:tcPr>
            <w:tcW w:w="748" w:type="dxa"/>
            <w:tcBorders>
              <w:top w:val="single" w:color="auto" w:sz="4" w:space="0"/>
              <w:left w:val="single" w:color="auto" w:sz="4" w:space="0"/>
              <w:bottom w:val="single" w:color="auto" w:sz="4" w:space="0"/>
              <w:right w:val="single" w:color="auto" w:sz="4" w:space="0"/>
            </w:tcBorders>
            <w:shd w:val="clear" w:color="auto" w:fill="FFFFFF"/>
            <w:noWrap w:val="0"/>
            <w:tcMar>
              <w:left w:w="70" w:type="dxa"/>
              <w:right w:w="70" w:type="dxa"/>
            </w:tcMar>
            <w:vAlign w:val="center"/>
          </w:tcPr>
          <w:p w14:paraId="283A7863">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eastAsia" w:eastAsia="宋体"/>
                <w:color w:val="000000"/>
                <w:lang w:val="en-US" w:eastAsia="zh-CN"/>
              </w:rPr>
            </w:pPr>
            <w:r>
              <w:rPr>
                <w:rFonts w:hint="eastAsia"/>
                <w:lang w:val="en-US" w:eastAsia="zh-CN"/>
              </w:rPr>
              <w:t>2</w:t>
            </w:r>
          </w:p>
        </w:tc>
        <w:tc>
          <w:tcPr>
            <w:tcW w:w="4044" w:type="dxa"/>
            <w:tcBorders>
              <w:top w:val="single" w:color="auto" w:sz="4" w:space="0"/>
              <w:left w:val="single" w:color="auto" w:sz="4" w:space="0"/>
              <w:bottom w:val="single" w:color="auto" w:sz="4" w:space="0"/>
              <w:right w:val="single" w:color="auto" w:sz="4" w:space="0"/>
            </w:tcBorders>
            <w:shd w:val="clear" w:color="auto" w:fill="FFFFFF"/>
            <w:noWrap w:val="0"/>
            <w:tcMar>
              <w:left w:w="70" w:type="dxa"/>
              <w:right w:w="70" w:type="dxa"/>
            </w:tcMar>
            <w:vAlign w:val="center"/>
          </w:tcPr>
          <w:p w14:paraId="72153132">
            <w:pPr>
              <w:keepNext w:val="0"/>
              <w:keepLines w:val="0"/>
              <w:pageBreakBefore w:val="0"/>
              <w:widowControl w:val="0"/>
              <w:kinsoku/>
              <w:wordWrap/>
              <w:overflowPunct/>
              <w:topLinePunct w:val="0"/>
              <w:autoSpaceDE/>
              <w:autoSpaceDN/>
              <w:bidi w:val="0"/>
              <w:adjustRightInd/>
              <w:snapToGrid/>
              <w:spacing w:line="400" w:lineRule="exact"/>
              <w:ind w:right="0" w:rightChars="0"/>
              <w:textAlignment w:val="auto"/>
              <w:rPr>
                <w:color w:val="000000"/>
              </w:rPr>
            </w:pPr>
            <w:r>
              <w:rPr>
                <w:rFonts w:hint="eastAsia"/>
                <w:color w:val="000000"/>
              </w:rPr>
              <w:t>（一）将本人的医疗保障凭证交由他人冒名使用;（二）重复享受医疗保障待遇;（三）利用享受医疗保障待遇的机会转卖药品，接受返还现金、实物或者获得其他非法利益。</w:t>
            </w:r>
          </w:p>
        </w:tc>
        <w:tc>
          <w:tcPr>
            <w:tcW w:w="2255" w:type="dxa"/>
            <w:tcBorders>
              <w:top w:val="single" w:color="auto" w:sz="4" w:space="0"/>
              <w:left w:val="single" w:color="auto" w:sz="4" w:space="0"/>
              <w:bottom w:val="single" w:color="auto" w:sz="4" w:space="0"/>
              <w:right w:val="single" w:color="auto" w:sz="4" w:space="0"/>
            </w:tcBorders>
            <w:shd w:val="clear" w:color="auto" w:fill="FFFFFF"/>
            <w:noWrap w:val="0"/>
            <w:tcMar>
              <w:left w:w="70" w:type="dxa"/>
              <w:right w:w="70" w:type="dxa"/>
            </w:tcMar>
            <w:vAlign w:val="center"/>
          </w:tcPr>
          <w:p w14:paraId="315A7862">
            <w:pPr>
              <w:keepNext w:val="0"/>
              <w:keepLines w:val="0"/>
              <w:pageBreakBefore w:val="0"/>
              <w:widowControl w:val="0"/>
              <w:kinsoku/>
              <w:wordWrap/>
              <w:overflowPunct/>
              <w:topLinePunct w:val="0"/>
              <w:autoSpaceDE/>
              <w:autoSpaceDN/>
              <w:bidi w:val="0"/>
              <w:adjustRightInd/>
              <w:snapToGrid/>
              <w:spacing w:line="400" w:lineRule="exact"/>
              <w:ind w:right="0" w:rightChars="0"/>
              <w:textAlignment w:val="auto"/>
              <w:rPr>
                <w:color w:val="000000"/>
              </w:rPr>
            </w:pPr>
            <w:r>
              <w:rPr>
                <w:rFonts w:hint="eastAsia"/>
                <w:color w:val="000000"/>
              </w:rPr>
              <w:t>所使用的违法医保基金均由医保个人账户支付并及时改正的。</w:t>
            </w:r>
          </w:p>
        </w:tc>
        <w:tc>
          <w:tcPr>
            <w:tcW w:w="1399" w:type="dxa"/>
            <w:tcBorders>
              <w:top w:val="single" w:color="auto" w:sz="4" w:space="0"/>
              <w:left w:val="single" w:color="auto" w:sz="4" w:space="0"/>
              <w:bottom w:val="single" w:color="auto" w:sz="4" w:space="0"/>
              <w:right w:val="single" w:color="auto" w:sz="4" w:space="0"/>
            </w:tcBorders>
            <w:shd w:val="clear" w:color="auto" w:fill="FFFFFF"/>
            <w:noWrap w:val="0"/>
            <w:tcMar>
              <w:left w:w="70" w:type="dxa"/>
              <w:right w:w="70" w:type="dxa"/>
            </w:tcMar>
            <w:vAlign w:val="center"/>
          </w:tcPr>
          <w:p w14:paraId="50AAF8A0">
            <w:pPr>
              <w:keepNext w:val="0"/>
              <w:keepLines w:val="0"/>
              <w:pageBreakBefore w:val="0"/>
              <w:widowControl w:val="0"/>
              <w:kinsoku/>
              <w:wordWrap/>
              <w:overflowPunct/>
              <w:topLinePunct w:val="0"/>
              <w:autoSpaceDE/>
              <w:autoSpaceDN/>
              <w:bidi w:val="0"/>
              <w:adjustRightInd/>
              <w:snapToGrid/>
              <w:spacing w:line="400" w:lineRule="exact"/>
              <w:ind w:right="0" w:rightChars="0"/>
              <w:textAlignment w:val="auto"/>
              <w:rPr>
                <w:color w:val="000000"/>
              </w:rPr>
            </w:pPr>
            <w:r>
              <w:rPr>
                <w:rFonts w:hint="eastAsia"/>
                <w:color w:val="000000"/>
                <w:lang w:val="en-US" w:eastAsia="zh-CN"/>
              </w:rPr>
              <w:t>1.《行政处罚法》第三十三条第一款2.</w:t>
            </w:r>
            <w:r>
              <w:rPr>
                <w:rFonts w:hint="eastAsia"/>
                <w:color w:val="000000"/>
              </w:rPr>
              <w:t>《医疗保障基金使用监督管理条例》</w:t>
            </w:r>
            <w:r>
              <w:rPr>
                <w:rFonts w:hint="eastAsia"/>
                <w:color w:val="000000"/>
                <w:lang w:eastAsia="zh-CN"/>
              </w:rPr>
              <w:t>第四十一条第一款</w:t>
            </w:r>
          </w:p>
        </w:tc>
      </w:tr>
    </w:tbl>
    <w:p w14:paraId="392FEC9B">
      <w:pPr>
        <w:keepNext w:val="0"/>
        <w:keepLines w:val="0"/>
        <w:pageBreakBefore w:val="0"/>
        <w:kinsoku/>
        <w:wordWrap/>
        <w:overflowPunct/>
        <w:topLinePunct w:val="0"/>
        <w:autoSpaceDE/>
        <w:autoSpaceDN/>
        <w:bidi w:val="0"/>
        <w:adjustRightInd/>
        <w:snapToGrid/>
        <w:spacing w:line="560" w:lineRule="exact"/>
        <w:ind w:right="0" w:rightChars="0"/>
        <w:textAlignment w:val="auto"/>
      </w:pPr>
    </w:p>
    <w:p w14:paraId="4C7C7E4B">
      <w:pPr>
        <w:keepNext w:val="0"/>
        <w:keepLines w:val="0"/>
        <w:pageBreakBefore w:val="0"/>
        <w:kinsoku/>
        <w:wordWrap/>
        <w:overflowPunct/>
        <w:topLinePunct w:val="0"/>
        <w:autoSpaceDE/>
        <w:autoSpaceDN/>
        <w:bidi w:val="0"/>
        <w:adjustRightInd/>
        <w:snapToGrid/>
        <w:spacing w:line="560" w:lineRule="exact"/>
        <w:ind w:right="0" w:rightChars="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附件2</w:t>
      </w:r>
    </w:p>
    <w:p w14:paraId="0C3BC344">
      <w:pPr>
        <w:keepNext w:val="0"/>
        <w:keepLines w:val="0"/>
        <w:pageBreakBefore w:val="0"/>
        <w:kinsoku/>
        <w:wordWrap/>
        <w:overflowPunct/>
        <w:topLinePunct w:val="0"/>
        <w:autoSpaceDE/>
        <w:autoSpaceDN/>
        <w:bidi w:val="0"/>
        <w:adjustRightInd/>
        <w:snapToGrid/>
        <w:spacing w:line="560" w:lineRule="exact"/>
        <w:ind w:right="0" w:rightChars="0"/>
        <w:jc w:val="center"/>
        <w:textAlignment w:val="auto"/>
        <w:rPr>
          <w:rFonts w:hint="eastAsia" w:ascii="方正小标宋简体" w:hAnsi="方正小标宋简体" w:eastAsia="方正小标宋简体" w:cs="方正小标宋简体"/>
          <w:color w:val="000000"/>
          <w:sz w:val="36"/>
          <w:szCs w:val="36"/>
        </w:rPr>
      </w:pPr>
      <w:r>
        <w:rPr>
          <w:rFonts w:hint="eastAsia" w:ascii="方正小标宋简体" w:hAnsi="方正小标宋简体" w:eastAsia="方正小标宋简体" w:cs="方正小标宋简体"/>
          <w:color w:val="000000"/>
          <w:sz w:val="36"/>
          <w:szCs w:val="36"/>
          <w:lang w:val="en-US" w:eastAsia="zh-CN"/>
        </w:rPr>
        <w:t>医疗保障</w:t>
      </w:r>
      <w:r>
        <w:rPr>
          <w:rFonts w:hint="eastAsia" w:ascii="方正小标宋简体" w:hAnsi="方正小标宋简体" w:eastAsia="方正小标宋简体" w:cs="方正小标宋简体"/>
          <w:color w:val="000000"/>
          <w:sz w:val="36"/>
          <w:szCs w:val="36"/>
        </w:rPr>
        <w:t>领域</w:t>
      </w:r>
      <w:r>
        <w:rPr>
          <w:rFonts w:hint="eastAsia" w:ascii="方正小标宋简体" w:hAnsi="方正小标宋简体" w:eastAsia="方正小标宋简体" w:cs="方正小标宋简体"/>
          <w:color w:val="000000"/>
          <w:sz w:val="36"/>
          <w:szCs w:val="36"/>
          <w:lang w:val="en-US" w:eastAsia="zh-CN"/>
        </w:rPr>
        <w:t>“初次违法不罚”</w:t>
      </w:r>
      <w:r>
        <w:rPr>
          <w:rFonts w:hint="eastAsia" w:ascii="方正小标宋简体" w:hAnsi="方正小标宋简体" w:eastAsia="方正小标宋简体" w:cs="方正小标宋简体"/>
          <w:color w:val="000000"/>
          <w:sz w:val="36"/>
          <w:szCs w:val="36"/>
        </w:rPr>
        <w:t>清单</w:t>
      </w:r>
    </w:p>
    <w:p w14:paraId="2C484561">
      <w:pPr>
        <w:keepNext w:val="0"/>
        <w:keepLines w:val="0"/>
        <w:pageBreakBefore w:val="0"/>
        <w:kinsoku/>
        <w:wordWrap/>
        <w:overflowPunct/>
        <w:topLinePunct w:val="0"/>
        <w:autoSpaceDE/>
        <w:autoSpaceDN/>
        <w:bidi w:val="0"/>
        <w:adjustRightInd/>
        <w:snapToGrid/>
        <w:spacing w:line="560" w:lineRule="exact"/>
        <w:ind w:right="0" w:rightChars="0"/>
        <w:jc w:val="center"/>
        <w:textAlignment w:val="auto"/>
        <w:rPr>
          <w:rFonts w:hint="eastAsia" w:ascii="方正小标宋简体" w:hAnsi="方正小标宋简体" w:eastAsia="方正小标宋简体" w:cs="方正小标宋简体"/>
          <w:color w:val="000000"/>
          <w:sz w:val="36"/>
          <w:szCs w:val="36"/>
        </w:rPr>
      </w:pPr>
    </w:p>
    <w:tbl>
      <w:tblPr>
        <w:tblStyle w:val="6"/>
        <w:tblW w:w="0" w:type="auto"/>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748"/>
        <w:gridCol w:w="3213"/>
        <w:gridCol w:w="2643"/>
        <w:gridCol w:w="1842"/>
      </w:tblGrid>
      <w:tr w14:paraId="45E3372B">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519" w:hRule="atLeast"/>
          <w:jc w:val="center"/>
        </w:trPr>
        <w:tc>
          <w:tcPr>
            <w:tcW w:w="748" w:type="dxa"/>
            <w:tcBorders>
              <w:top w:val="single" w:color="000000" w:sz="4" w:space="0"/>
              <w:left w:val="single" w:color="000000" w:sz="4" w:space="0"/>
              <w:bottom w:val="single" w:color="000000" w:sz="4" w:space="0"/>
              <w:right w:val="single" w:color="000000" w:sz="4" w:space="0"/>
            </w:tcBorders>
            <w:shd w:val="clear" w:color="auto" w:fill="FFFFFF"/>
            <w:noWrap w:val="0"/>
            <w:tcMar>
              <w:left w:w="70" w:type="dxa"/>
              <w:right w:w="70" w:type="dxa"/>
            </w:tcMar>
            <w:vAlign w:val="center"/>
          </w:tcPr>
          <w:p w14:paraId="48E14A68">
            <w:pPr>
              <w:keepNext w:val="0"/>
              <w:keepLines w:val="0"/>
              <w:pageBreakBefore w:val="0"/>
              <w:kinsoku/>
              <w:wordWrap/>
              <w:overflowPunct/>
              <w:topLinePunct w:val="0"/>
              <w:autoSpaceDE/>
              <w:autoSpaceDN/>
              <w:bidi w:val="0"/>
              <w:adjustRightInd/>
              <w:snapToGrid/>
              <w:spacing w:line="560" w:lineRule="exact"/>
              <w:ind w:right="0" w:rightChars="0"/>
              <w:jc w:val="center"/>
              <w:textAlignment w:val="auto"/>
              <w:rPr>
                <w:rFonts w:hint="eastAsia" w:ascii="黑体" w:hAnsi="黑体" w:eastAsia="黑体" w:cs="黑体"/>
                <w:color w:val="000000"/>
                <w:sz w:val="28"/>
                <w:szCs w:val="28"/>
              </w:rPr>
            </w:pPr>
            <w:r>
              <w:rPr>
                <w:rFonts w:hint="eastAsia" w:ascii="黑体" w:hAnsi="黑体" w:eastAsia="黑体" w:cs="黑体"/>
                <w:color w:val="000000"/>
                <w:sz w:val="28"/>
                <w:szCs w:val="28"/>
              </w:rPr>
              <w:t>序号</w:t>
            </w:r>
          </w:p>
        </w:tc>
        <w:tc>
          <w:tcPr>
            <w:tcW w:w="3213" w:type="dxa"/>
            <w:tcBorders>
              <w:top w:val="single" w:color="000000" w:sz="4" w:space="0"/>
              <w:left w:val="nil"/>
              <w:bottom w:val="single" w:color="000000" w:sz="4" w:space="0"/>
              <w:right w:val="single" w:color="000000" w:sz="4" w:space="0"/>
            </w:tcBorders>
            <w:shd w:val="clear" w:color="auto" w:fill="FFFFFF"/>
            <w:noWrap w:val="0"/>
            <w:tcMar>
              <w:left w:w="70" w:type="dxa"/>
              <w:right w:w="70" w:type="dxa"/>
            </w:tcMar>
            <w:vAlign w:val="center"/>
          </w:tcPr>
          <w:p w14:paraId="18CF96BA">
            <w:pPr>
              <w:keepNext w:val="0"/>
              <w:keepLines w:val="0"/>
              <w:pageBreakBefore w:val="0"/>
              <w:kinsoku/>
              <w:wordWrap/>
              <w:overflowPunct/>
              <w:topLinePunct w:val="0"/>
              <w:autoSpaceDE/>
              <w:autoSpaceDN/>
              <w:bidi w:val="0"/>
              <w:adjustRightInd/>
              <w:snapToGrid/>
              <w:spacing w:line="560" w:lineRule="exact"/>
              <w:ind w:right="0" w:rightChars="0"/>
              <w:jc w:val="center"/>
              <w:textAlignment w:val="auto"/>
              <w:rPr>
                <w:rFonts w:hint="eastAsia" w:ascii="黑体" w:hAnsi="黑体" w:eastAsia="黑体" w:cs="黑体"/>
                <w:color w:val="000000"/>
                <w:sz w:val="28"/>
                <w:szCs w:val="28"/>
              </w:rPr>
            </w:pPr>
            <w:r>
              <w:rPr>
                <w:rFonts w:hint="eastAsia" w:ascii="黑体" w:hAnsi="黑体" w:eastAsia="黑体" w:cs="黑体"/>
                <w:color w:val="000000"/>
                <w:sz w:val="28"/>
                <w:szCs w:val="28"/>
              </w:rPr>
              <w:t>违法行为</w:t>
            </w:r>
          </w:p>
        </w:tc>
        <w:tc>
          <w:tcPr>
            <w:tcW w:w="2643" w:type="dxa"/>
            <w:tcBorders>
              <w:top w:val="single" w:color="000000" w:sz="4" w:space="0"/>
              <w:left w:val="nil"/>
              <w:bottom w:val="single" w:color="000000" w:sz="4" w:space="0"/>
              <w:right w:val="single" w:color="000000" w:sz="4" w:space="0"/>
            </w:tcBorders>
            <w:shd w:val="clear" w:color="auto" w:fill="FFFFFF"/>
            <w:noWrap w:val="0"/>
            <w:tcMar>
              <w:left w:w="70" w:type="dxa"/>
              <w:right w:w="70" w:type="dxa"/>
            </w:tcMar>
            <w:vAlign w:val="center"/>
          </w:tcPr>
          <w:p w14:paraId="0F06E924">
            <w:pPr>
              <w:keepNext w:val="0"/>
              <w:keepLines w:val="0"/>
              <w:pageBreakBefore w:val="0"/>
              <w:kinsoku/>
              <w:wordWrap/>
              <w:overflowPunct/>
              <w:topLinePunct w:val="0"/>
              <w:autoSpaceDE/>
              <w:autoSpaceDN/>
              <w:bidi w:val="0"/>
              <w:adjustRightInd/>
              <w:snapToGrid/>
              <w:spacing w:line="560" w:lineRule="exact"/>
              <w:ind w:right="0" w:rightChars="0"/>
              <w:jc w:val="center"/>
              <w:textAlignment w:val="auto"/>
              <w:rPr>
                <w:rFonts w:hint="eastAsia" w:ascii="黑体" w:hAnsi="黑体" w:eastAsia="黑体" w:cs="黑体"/>
                <w:color w:val="000000"/>
                <w:sz w:val="28"/>
                <w:szCs w:val="28"/>
              </w:rPr>
            </w:pPr>
            <w:r>
              <w:rPr>
                <w:rFonts w:hint="eastAsia" w:ascii="黑体" w:hAnsi="黑体" w:eastAsia="黑体" w:cs="黑体"/>
                <w:color w:val="000000"/>
                <w:sz w:val="28"/>
                <w:szCs w:val="28"/>
                <w:lang w:eastAsia="zh-CN"/>
              </w:rPr>
              <w:t>适用</w:t>
            </w:r>
            <w:r>
              <w:rPr>
                <w:rFonts w:hint="eastAsia" w:ascii="黑体" w:hAnsi="黑体" w:eastAsia="黑体" w:cs="黑体"/>
                <w:color w:val="000000"/>
                <w:sz w:val="28"/>
                <w:szCs w:val="28"/>
              </w:rPr>
              <w:t>条件</w:t>
            </w:r>
          </w:p>
        </w:tc>
        <w:tc>
          <w:tcPr>
            <w:tcW w:w="1842" w:type="dxa"/>
            <w:tcBorders>
              <w:top w:val="single" w:color="000000" w:sz="4" w:space="0"/>
              <w:left w:val="nil"/>
              <w:bottom w:val="single" w:color="000000" w:sz="4" w:space="0"/>
              <w:right w:val="single" w:color="000000" w:sz="4" w:space="0"/>
            </w:tcBorders>
            <w:shd w:val="clear" w:color="auto" w:fill="FFFFFF"/>
            <w:noWrap w:val="0"/>
            <w:tcMar>
              <w:left w:w="70" w:type="dxa"/>
              <w:right w:w="70" w:type="dxa"/>
            </w:tcMar>
            <w:vAlign w:val="center"/>
          </w:tcPr>
          <w:p w14:paraId="02036039">
            <w:pPr>
              <w:keepNext w:val="0"/>
              <w:keepLines w:val="0"/>
              <w:pageBreakBefore w:val="0"/>
              <w:kinsoku/>
              <w:wordWrap/>
              <w:overflowPunct/>
              <w:topLinePunct w:val="0"/>
              <w:autoSpaceDE/>
              <w:autoSpaceDN/>
              <w:bidi w:val="0"/>
              <w:adjustRightInd/>
              <w:snapToGrid/>
              <w:spacing w:line="560" w:lineRule="exact"/>
              <w:ind w:right="0" w:rightChars="0"/>
              <w:jc w:val="center"/>
              <w:textAlignment w:val="auto"/>
              <w:rPr>
                <w:rFonts w:hint="eastAsia" w:ascii="黑体" w:hAnsi="黑体" w:eastAsia="黑体" w:cs="黑体"/>
                <w:color w:val="000000"/>
                <w:sz w:val="28"/>
                <w:szCs w:val="28"/>
              </w:rPr>
            </w:pPr>
            <w:r>
              <w:rPr>
                <w:rFonts w:hint="eastAsia" w:ascii="黑体" w:hAnsi="黑体" w:eastAsia="黑体" w:cs="黑体"/>
                <w:color w:val="000000"/>
                <w:sz w:val="28"/>
                <w:szCs w:val="28"/>
              </w:rPr>
              <w:t>法律依据</w:t>
            </w:r>
          </w:p>
        </w:tc>
      </w:tr>
      <w:tr w14:paraId="2FE09142">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291" w:hRule="exact"/>
          <w:jc w:val="center"/>
        </w:trPr>
        <w:tc>
          <w:tcPr>
            <w:tcW w:w="748" w:type="dxa"/>
            <w:tcBorders>
              <w:top w:val="nil"/>
              <w:left w:val="single" w:color="000000" w:sz="4" w:space="0"/>
              <w:bottom w:val="single" w:color="000000" w:sz="4" w:space="0"/>
              <w:right w:val="single" w:color="000000" w:sz="4" w:space="0"/>
            </w:tcBorders>
            <w:shd w:val="clear" w:color="auto" w:fill="FFFFFF"/>
            <w:noWrap w:val="0"/>
            <w:tcMar>
              <w:left w:w="70" w:type="dxa"/>
              <w:right w:w="70" w:type="dxa"/>
            </w:tcMar>
            <w:vAlign w:val="center"/>
          </w:tcPr>
          <w:p w14:paraId="74977003">
            <w:pPr>
              <w:keepNext w:val="0"/>
              <w:keepLines w:val="0"/>
              <w:pageBreakBefore w:val="0"/>
              <w:kinsoku/>
              <w:wordWrap/>
              <w:overflowPunct/>
              <w:topLinePunct w:val="0"/>
              <w:autoSpaceDE/>
              <w:autoSpaceDN/>
              <w:bidi w:val="0"/>
              <w:adjustRightInd/>
              <w:snapToGrid/>
              <w:spacing w:line="400" w:lineRule="exact"/>
              <w:ind w:right="0" w:rightChars="0"/>
              <w:jc w:val="center"/>
              <w:textAlignment w:val="auto"/>
              <w:rPr>
                <w:rFonts w:hint="eastAsia" w:eastAsia="宋体"/>
                <w:color w:val="000000"/>
                <w:lang w:val="en-US" w:eastAsia="zh-CN"/>
              </w:rPr>
            </w:pPr>
            <w:r>
              <w:rPr>
                <w:rFonts w:hint="eastAsia"/>
                <w:color w:val="000000"/>
                <w:lang w:val="en-US" w:eastAsia="zh-CN"/>
              </w:rPr>
              <w:t>1</w:t>
            </w:r>
          </w:p>
        </w:tc>
        <w:tc>
          <w:tcPr>
            <w:tcW w:w="3213" w:type="dxa"/>
            <w:tcBorders>
              <w:top w:val="nil"/>
              <w:left w:val="nil"/>
              <w:bottom w:val="single" w:color="000000" w:sz="4" w:space="0"/>
              <w:right w:val="single" w:color="000000" w:sz="4" w:space="0"/>
            </w:tcBorders>
            <w:shd w:val="clear" w:color="auto" w:fill="FFFFFF"/>
            <w:noWrap w:val="0"/>
            <w:tcMar>
              <w:left w:w="70" w:type="dxa"/>
              <w:right w:w="70" w:type="dxa"/>
            </w:tcMar>
            <w:vAlign w:val="center"/>
          </w:tcPr>
          <w:p w14:paraId="26ADB2A2">
            <w:pPr>
              <w:keepNext w:val="0"/>
              <w:keepLines w:val="0"/>
              <w:pageBreakBefore w:val="0"/>
              <w:kinsoku/>
              <w:wordWrap/>
              <w:overflowPunct/>
              <w:topLinePunct w:val="0"/>
              <w:autoSpaceDE/>
              <w:autoSpaceDN/>
              <w:bidi w:val="0"/>
              <w:adjustRightInd/>
              <w:snapToGrid/>
              <w:spacing w:line="400" w:lineRule="exact"/>
              <w:ind w:right="0" w:rightChars="0"/>
              <w:textAlignment w:val="auto"/>
              <w:rPr>
                <w:rFonts w:hint="default" w:eastAsia="宋体"/>
                <w:color w:val="000000"/>
                <w:lang w:val="en-US" w:eastAsia="zh-CN"/>
              </w:rPr>
            </w:pPr>
            <w:r>
              <w:rPr>
                <w:rFonts w:hint="eastAsia"/>
                <w:lang w:eastAsia="zh-CN"/>
              </w:rPr>
              <w:t>用人单位未按时足额缴纳职工医疗保险费、生育保险费的。</w:t>
            </w:r>
          </w:p>
        </w:tc>
        <w:tc>
          <w:tcPr>
            <w:tcW w:w="2643" w:type="dxa"/>
            <w:tcBorders>
              <w:top w:val="nil"/>
              <w:left w:val="nil"/>
              <w:bottom w:val="single" w:color="000000" w:sz="4" w:space="0"/>
              <w:right w:val="single" w:color="000000" w:sz="4" w:space="0"/>
            </w:tcBorders>
            <w:shd w:val="clear" w:color="auto" w:fill="FFFFFF"/>
            <w:noWrap w:val="0"/>
            <w:tcMar>
              <w:left w:w="70" w:type="dxa"/>
              <w:right w:w="70" w:type="dxa"/>
            </w:tcMar>
            <w:vAlign w:val="center"/>
          </w:tcPr>
          <w:p w14:paraId="40F1A0C1">
            <w:pPr>
              <w:keepNext w:val="0"/>
              <w:keepLines w:val="0"/>
              <w:pageBreakBefore w:val="0"/>
              <w:numPr>
                <w:ilvl w:val="0"/>
                <w:numId w:val="0"/>
              </w:numPr>
              <w:kinsoku/>
              <w:wordWrap/>
              <w:overflowPunct/>
              <w:topLinePunct w:val="0"/>
              <w:autoSpaceDE/>
              <w:autoSpaceDN/>
              <w:bidi w:val="0"/>
              <w:adjustRightInd/>
              <w:snapToGrid/>
              <w:spacing w:line="400" w:lineRule="exact"/>
              <w:ind w:right="0" w:rightChars="0"/>
              <w:textAlignment w:val="auto"/>
              <w:rPr>
                <w:rFonts w:hint="default"/>
                <w:color w:val="000000"/>
                <w:lang w:val="en" w:eastAsia="zh-CN"/>
              </w:rPr>
            </w:pPr>
            <w:r>
              <w:rPr>
                <w:rFonts w:hint="default"/>
                <w:color w:val="000000"/>
                <w:lang w:val="en" w:eastAsia="zh-CN"/>
              </w:rPr>
              <w:t>1.</w:t>
            </w:r>
            <w:r>
              <w:rPr>
                <w:rFonts w:hint="eastAsia"/>
                <w:color w:val="000000"/>
                <w:lang w:val="en-US" w:eastAsia="zh-CN"/>
              </w:rPr>
              <w:t>首次被发现；</w:t>
            </w:r>
          </w:p>
          <w:p w14:paraId="26999837">
            <w:pPr>
              <w:keepNext w:val="0"/>
              <w:keepLines w:val="0"/>
              <w:pageBreakBefore w:val="0"/>
              <w:kinsoku/>
              <w:wordWrap/>
              <w:overflowPunct/>
              <w:topLinePunct w:val="0"/>
              <w:autoSpaceDE/>
              <w:autoSpaceDN/>
              <w:bidi w:val="0"/>
              <w:adjustRightInd/>
              <w:snapToGrid/>
              <w:spacing w:line="400" w:lineRule="exact"/>
              <w:ind w:right="0" w:rightChars="0"/>
              <w:textAlignment w:val="auto"/>
              <w:rPr>
                <w:rFonts w:hint="default" w:eastAsia="宋体"/>
                <w:color w:val="000000"/>
                <w:lang w:val="en" w:eastAsia="zh-CN"/>
              </w:rPr>
            </w:pPr>
            <w:r>
              <w:rPr>
                <w:rFonts w:hint="default"/>
                <w:color w:val="000000"/>
                <w:lang w:val="en" w:eastAsia="zh-CN"/>
              </w:rPr>
              <w:t>2.</w:t>
            </w:r>
            <w:r>
              <w:rPr>
                <w:rFonts w:hint="eastAsia"/>
                <w:color w:val="000000"/>
                <w:lang w:eastAsia="zh-CN"/>
              </w:rPr>
              <w:t>自行纠正或限期</w:t>
            </w:r>
            <w:r>
              <w:rPr>
                <w:rFonts w:hint="eastAsia"/>
                <w:lang w:eastAsia="zh-CN"/>
              </w:rPr>
              <w:t>内</w:t>
            </w:r>
            <w:r>
              <w:rPr>
                <w:rFonts w:hint="eastAsia"/>
                <w:lang w:val="en-US" w:eastAsia="zh-CN"/>
              </w:rPr>
              <w:t>足额</w:t>
            </w:r>
            <w:r>
              <w:rPr>
                <w:rFonts w:hint="eastAsia"/>
                <w:lang w:eastAsia="zh-CN"/>
              </w:rPr>
              <w:t>缴纳</w:t>
            </w:r>
            <w:r>
              <w:rPr>
                <w:rFonts w:hint="eastAsia"/>
                <w:lang w:val="en-US" w:eastAsia="zh-CN"/>
              </w:rPr>
              <w:t>社会保</w:t>
            </w:r>
            <w:r>
              <w:rPr>
                <w:rFonts w:hint="eastAsia"/>
                <w:color w:val="000000"/>
                <w:lang w:val="en-US" w:eastAsia="zh-CN"/>
              </w:rPr>
              <w:t>险费和滞纳金。</w:t>
            </w:r>
          </w:p>
        </w:tc>
        <w:tc>
          <w:tcPr>
            <w:tcW w:w="1842" w:type="dxa"/>
            <w:tcBorders>
              <w:top w:val="nil"/>
              <w:left w:val="nil"/>
              <w:bottom w:val="nil"/>
              <w:right w:val="single" w:color="000000" w:sz="4" w:space="0"/>
            </w:tcBorders>
            <w:shd w:val="clear" w:color="auto" w:fill="FFFFFF"/>
            <w:noWrap w:val="0"/>
            <w:tcMar>
              <w:left w:w="70" w:type="dxa"/>
              <w:right w:w="70" w:type="dxa"/>
            </w:tcMar>
            <w:vAlign w:val="center"/>
          </w:tcPr>
          <w:p w14:paraId="43973A76">
            <w:pPr>
              <w:keepNext w:val="0"/>
              <w:keepLines w:val="0"/>
              <w:pageBreakBefore w:val="0"/>
              <w:kinsoku/>
              <w:wordWrap/>
              <w:overflowPunct/>
              <w:topLinePunct w:val="0"/>
              <w:autoSpaceDE/>
              <w:autoSpaceDN/>
              <w:bidi w:val="0"/>
              <w:adjustRightInd/>
              <w:snapToGrid/>
              <w:spacing w:line="400" w:lineRule="exact"/>
              <w:ind w:right="0" w:rightChars="0"/>
              <w:textAlignment w:val="auto"/>
              <w:rPr>
                <w:rFonts w:hint="eastAsia" w:eastAsia="宋体"/>
                <w:color w:val="000000"/>
                <w:lang w:val="en-US" w:eastAsia="zh-CN"/>
              </w:rPr>
            </w:pPr>
            <w:r>
              <w:rPr>
                <w:rFonts w:hint="eastAsia"/>
                <w:color w:val="000000"/>
                <w:lang w:val="en-US" w:eastAsia="zh-CN"/>
              </w:rPr>
              <w:t>1.《行政处罚法》第三十三条第一款2.</w:t>
            </w:r>
            <w:r>
              <w:rPr>
                <w:rFonts w:hint="eastAsia"/>
                <w:color w:val="000000"/>
              </w:rPr>
              <w:t>《</w:t>
            </w:r>
            <w:r>
              <w:rPr>
                <w:rFonts w:hint="eastAsia"/>
                <w:color w:val="000000"/>
                <w:lang w:eastAsia="zh-CN"/>
              </w:rPr>
              <w:t>社会保险法</w:t>
            </w:r>
            <w:r>
              <w:rPr>
                <w:rFonts w:hint="eastAsia"/>
                <w:color w:val="000000"/>
              </w:rPr>
              <w:t>》</w:t>
            </w:r>
            <w:r>
              <w:rPr>
                <w:rFonts w:hint="eastAsia"/>
                <w:color w:val="000000"/>
                <w:lang w:eastAsia="zh-CN"/>
              </w:rPr>
              <w:t>第八十六条</w:t>
            </w:r>
          </w:p>
        </w:tc>
      </w:tr>
      <w:tr w14:paraId="78C98D26">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039" w:hRule="exact"/>
          <w:jc w:val="center"/>
        </w:trPr>
        <w:tc>
          <w:tcPr>
            <w:tcW w:w="748" w:type="dxa"/>
            <w:tcBorders>
              <w:top w:val="nil"/>
              <w:left w:val="single" w:color="000000" w:sz="4" w:space="0"/>
              <w:bottom w:val="single" w:color="auto" w:sz="4" w:space="0"/>
              <w:right w:val="single" w:color="000000" w:sz="4" w:space="0"/>
            </w:tcBorders>
            <w:shd w:val="clear" w:color="auto" w:fill="FFFFFF"/>
            <w:noWrap w:val="0"/>
            <w:tcMar>
              <w:left w:w="70" w:type="dxa"/>
              <w:right w:w="70" w:type="dxa"/>
            </w:tcMar>
            <w:vAlign w:val="center"/>
          </w:tcPr>
          <w:p w14:paraId="32F734F7">
            <w:pPr>
              <w:keepNext w:val="0"/>
              <w:keepLines w:val="0"/>
              <w:pageBreakBefore w:val="0"/>
              <w:kinsoku/>
              <w:wordWrap/>
              <w:overflowPunct/>
              <w:topLinePunct w:val="0"/>
              <w:autoSpaceDE/>
              <w:autoSpaceDN/>
              <w:bidi w:val="0"/>
              <w:adjustRightInd/>
              <w:snapToGrid/>
              <w:spacing w:line="400" w:lineRule="exact"/>
              <w:ind w:right="0" w:rightChars="0"/>
              <w:jc w:val="center"/>
              <w:textAlignment w:val="auto"/>
              <w:rPr>
                <w:rFonts w:hint="eastAsia" w:eastAsia="宋体"/>
                <w:color w:val="000000"/>
                <w:lang w:val="en-US" w:eastAsia="zh-CN"/>
              </w:rPr>
            </w:pPr>
            <w:r>
              <w:rPr>
                <w:rFonts w:hint="eastAsia"/>
                <w:color w:val="000000"/>
                <w:lang w:val="en-US" w:eastAsia="zh-CN"/>
              </w:rPr>
              <w:t>2</w:t>
            </w:r>
          </w:p>
        </w:tc>
        <w:tc>
          <w:tcPr>
            <w:tcW w:w="3213" w:type="dxa"/>
            <w:tcBorders>
              <w:top w:val="nil"/>
              <w:left w:val="nil"/>
              <w:bottom w:val="single" w:color="auto" w:sz="4" w:space="0"/>
              <w:right w:val="single" w:color="000000" w:sz="4" w:space="0"/>
            </w:tcBorders>
            <w:shd w:val="clear" w:color="auto" w:fill="FFFFFF"/>
            <w:noWrap w:val="0"/>
            <w:tcMar>
              <w:left w:w="70" w:type="dxa"/>
              <w:right w:w="70" w:type="dxa"/>
            </w:tcMar>
            <w:vAlign w:val="center"/>
          </w:tcPr>
          <w:p w14:paraId="2868DFB4">
            <w:pPr>
              <w:keepNext w:val="0"/>
              <w:keepLines w:val="0"/>
              <w:pageBreakBefore w:val="0"/>
              <w:widowControl/>
              <w:suppressLineNumbers w:val="0"/>
              <w:kinsoku/>
              <w:wordWrap/>
              <w:overflowPunct/>
              <w:topLinePunct w:val="0"/>
              <w:autoSpaceDE/>
              <w:autoSpaceDN/>
              <w:bidi w:val="0"/>
              <w:adjustRightInd/>
              <w:snapToGrid/>
              <w:spacing w:line="400" w:lineRule="exact"/>
              <w:ind w:right="0" w:rightChars="0"/>
              <w:jc w:val="left"/>
              <w:textAlignment w:val="auto"/>
              <w:rPr>
                <w:rFonts w:hint="eastAsia"/>
                <w:color w:val="000000"/>
                <w:lang w:val="en-US" w:eastAsia="zh-CN"/>
              </w:rPr>
            </w:pPr>
            <w:r>
              <w:rPr>
                <w:rFonts w:hint="eastAsia"/>
                <w:color w:val="000000"/>
                <w:lang w:val="en-US" w:eastAsia="zh-CN"/>
              </w:rPr>
              <w:t>用人单位未按照规定办理职工医疗保险费、生育保险费登记、变更登记或者注销登记的。</w:t>
            </w:r>
          </w:p>
          <w:p w14:paraId="3F0EEC19">
            <w:pPr>
              <w:keepNext w:val="0"/>
              <w:keepLines w:val="0"/>
              <w:pageBreakBefore w:val="0"/>
              <w:kinsoku/>
              <w:wordWrap/>
              <w:overflowPunct/>
              <w:topLinePunct w:val="0"/>
              <w:autoSpaceDE/>
              <w:autoSpaceDN/>
              <w:bidi w:val="0"/>
              <w:adjustRightInd/>
              <w:snapToGrid/>
              <w:spacing w:line="400" w:lineRule="exact"/>
              <w:ind w:right="0" w:rightChars="0"/>
              <w:textAlignment w:val="auto"/>
              <w:rPr>
                <w:color w:val="000000"/>
              </w:rPr>
            </w:pPr>
          </w:p>
        </w:tc>
        <w:tc>
          <w:tcPr>
            <w:tcW w:w="2643" w:type="dxa"/>
            <w:tcBorders>
              <w:top w:val="nil"/>
              <w:left w:val="nil"/>
              <w:bottom w:val="single" w:color="auto" w:sz="4" w:space="0"/>
              <w:right w:val="single" w:color="000000" w:sz="4" w:space="0"/>
            </w:tcBorders>
            <w:shd w:val="clear" w:color="auto" w:fill="FFFFFF"/>
            <w:noWrap w:val="0"/>
            <w:tcMar>
              <w:left w:w="70" w:type="dxa"/>
              <w:right w:w="70" w:type="dxa"/>
            </w:tcMar>
            <w:vAlign w:val="center"/>
          </w:tcPr>
          <w:p w14:paraId="3513869C">
            <w:pPr>
              <w:keepNext w:val="0"/>
              <w:keepLines w:val="0"/>
              <w:pageBreakBefore w:val="0"/>
              <w:numPr>
                <w:ilvl w:val="0"/>
                <w:numId w:val="1"/>
              </w:numPr>
              <w:kinsoku/>
              <w:wordWrap/>
              <w:overflowPunct/>
              <w:topLinePunct w:val="0"/>
              <w:autoSpaceDE/>
              <w:autoSpaceDN/>
              <w:bidi w:val="0"/>
              <w:adjustRightInd/>
              <w:snapToGrid/>
              <w:spacing w:line="400" w:lineRule="exact"/>
              <w:ind w:right="0" w:rightChars="0"/>
              <w:textAlignment w:val="auto"/>
              <w:rPr>
                <w:rFonts w:hint="eastAsia"/>
                <w:color w:val="000000"/>
                <w:lang w:val="en-US" w:eastAsia="zh-CN"/>
              </w:rPr>
            </w:pPr>
            <w:r>
              <w:rPr>
                <w:rFonts w:hint="eastAsia"/>
                <w:color w:val="000000"/>
                <w:lang w:val="en-US" w:eastAsia="zh-CN"/>
              </w:rPr>
              <w:t>首次被发现；</w:t>
            </w:r>
          </w:p>
          <w:p w14:paraId="07F7FF3F">
            <w:pPr>
              <w:keepNext w:val="0"/>
              <w:keepLines w:val="0"/>
              <w:pageBreakBefore w:val="0"/>
              <w:numPr>
                <w:ilvl w:val="0"/>
                <w:numId w:val="1"/>
              </w:numPr>
              <w:kinsoku/>
              <w:wordWrap/>
              <w:overflowPunct/>
              <w:topLinePunct w:val="0"/>
              <w:autoSpaceDE/>
              <w:autoSpaceDN/>
              <w:bidi w:val="0"/>
              <w:adjustRightInd/>
              <w:snapToGrid/>
              <w:spacing w:line="400" w:lineRule="exact"/>
              <w:ind w:right="0" w:rightChars="0"/>
              <w:textAlignment w:val="auto"/>
              <w:rPr>
                <w:rFonts w:hint="default"/>
                <w:color w:val="000000"/>
                <w:lang w:val="en-US" w:eastAsia="zh-CN"/>
              </w:rPr>
            </w:pPr>
            <w:r>
              <w:rPr>
                <w:rFonts w:hint="eastAsia"/>
                <w:color w:val="000000"/>
                <w:lang w:eastAsia="zh-CN"/>
              </w:rPr>
              <w:t>自行纠正</w:t>
            </w:r>
            <w:r>
              <w:rPr>
                <w:rFonts w:hint="eastAsia"/>
                <w:color w:val="000000"/>
                <w:lang w:val="en-US" w:eastAsia="zh-CN"/>
              </w:rPr>
              <w:t>或限期内办理登记；</w:t>
            </w:r>
          </w:p>
          <w:p w14:paraId="2D0BCC28">
            <w:pPr>
              <w:keepNext w:val="0"/>
              <w:keepLines w:val="0"/>
              <w:pageBreakBefore w:val="0"/>
              <w:numPr>
                <w:ilvl w:val="0"/>
                <w:numId w:val="1"/>
              </w:numPr>
              <w:kinsoku/>
              <w:wordWrap/>
              <w:overflowPunct/>
              <w:topLinePunct w:val="0"/>
              <w:autoSpaceDE/>
              <w:autoSpaceDN/>
              <w:bidi w:val="0"/>
              <w:adjustRightInd/>
              <w:snapToGrid/>
              <w:spacing w:line="400" w:lineRule="exact"/>
              <w:ind w:right="0" w:rightChars="0"/>
              <w:textAlignment w:val="auto"/>
              <w:rPr>
                <w:rFonts w:hint="default"/>
                <w:color w:val="000000"/>
                <w:lang w:val="en-US" w:eastAsia="zh-CN"/>
              </w:rPr>
            </w:pPr>
            <w:r>
              <w:rPr>
                <w:rFonts w:hint="eastAsia"/>
                <w:color w:val="000000"/>
                <w:lang w:eastAsia="zh-CN"/>
              </w:rPr>
              <w:t>违法情节轻微未造成危害后果。</w:t>
            </w:r>
          </w:p>
        </w:tc>
        <w:tc>
          <w:tcPr>
            <w:tcW w:w="1842" w:type="dxa"/>
            <w:tcBorders>
              <w:top w:val="single" w:color="000000" w:sz="4" w:space="0"/>
              <w:left w:val="nil"/>
              <w:bottom w:val="single" w:color="auto" w:sz="4" w:space="0"/>
              <w:right w:val="single" w:color="000000" w:sz="4" w:space="0"/>
            </w:tcBorders>
            <w:shd w:val="clear" w:color="auto" w:fill="FFFFFF"/>
            <w:noWrap w:val="0"/>
            <w:tcMar>
              <w:left w:w="70" w:type="dxa"/>
              <w:right w:w="70" w:type="dxa"/>
            </w:tcMar>
            <w:vAlign w:val="center"/>
          </w:tcPr>
          <w:p w14:paraId="000749E7">
            <w:pPr>
              <w:keepNext w:val="0"/>
              <w:keepLines w:val="0"/>
              <w:pageBreakBefore w:val="0"/>
              <w:numPr>
                <w:ilvl w:val="0"/>
                <w:numId w:val="2"/>
              </w:numPr>
              <w:kinsoku/>
              <w:wordWrap/>
              <w:overflowPunct/>
              <w:topLinePunct w:val="0"/>
              <w:autoSpaceDE/>
              <w:autoSpaceDN/>
              <w:bidi w:val="0"/>
              <w:adjustRightInd/>
              <w:snapToGrid/>
              <w:spacing w:line="400" w:lineRule="exact"/>
              <w:ind w:right="0" w:rightChars="0"/>
              <w:textAlignment w:val="auto"/>
              <w:rPr>
                <w:rFonts w:hint="eastAsia"/>
                <w:color w:val="000000"/>
                <w:lang w:eastAsia="zh-CN"/>
              </w:rPr>
            </w:pPr>
            <w:r>
              <w:rPr>
                <w:rFonts w:hint="eastAsia"/>
                <w:color w:val="000000"/>
                <w:lang w:val="en-US" w:eastAsia="zh-CN"/>
              </w:rPr>
              <w:t>《行政处罚法》第三十三条第一款2.</w:t>
            </w:r>
            <w:r>
              <w:rPr>
                <w:rFonts w:hint="eastAsia"/>
                <w:color w:val="000000"/>
              </w:rPr>
              <w:t>《</w:t>
            </w:r>
            <w:r>
              <w:rPr>
                <w:rFonts w:hint="eastAsia"/>
                <w:color w:val="000000"/>
                <w:lang w:eastAsia="zh-CN"/>
              </w:rPr>
              <w:t>社会保险法</w:t>
            </w:r>
            <w:r>
              <w:rPr>
                <w:rFonts w:hint="eastAsia"/>
                <w:color w:val="000000"/>
              </w:rPr>
              <w:t>》</w:t>
            </w:r>
            <w:r>
              <w:rPr>
                <w:rFonts w:hint="eastAsia"/>
                <w:color w:val="000000"/>
                <w:lang w:eastAsia="zh-CN"/>
              </w:rPr>
              <w:t>第八十四条</w:t>
            </w:r>
          </w:p>
          <w:p w14:paraId="0E80E263">
            <w:pPr>
              <w:keepNext w:val="0"/>
              <w:keepLines w:val="0"/>
              <w:pageBreakBefore w:val="0"/>
              <w:widowControl/>
              <w:suppressLineNumbers w:val="0"/>
              <w:kinsoku/>
              <w:wordWrap/>
              <w:overflowPunct/>
              <w:topLinePunct w:val="0"/>
              <w:autoSpaceDE/>
              <w:autoSpaceDN/>
              <w:bidi w:val="0"/>
              <w:adjustRightInd/>
              <w:snapToGrid/>
              <w:spacing w:line="400" w:lineRule="exact"/>
              <w:ind w:right="0" w:rightChars="0"/>
              <w:jc w:val="left"/>
              <w:textAlignment w:val="auto"/>
              <w:rPr>
                <w:rFonts w:hint="eastAsia"/>
                <w:color w:val="000000"/>
                <w:lang w:eastAsia="zh-CN"/>
              </w:rPr>
            </w:pPr>
            <w:r>
              <w:rPr>
                <w:rFonts w:hint="eastAsia"/>
                <w:color w:val="000000"/>
                <w:lang w:val="en-US" w:eastAsia="zh-CN"/>
              </w:rPr>
              <w:t>3《社会保险费征缴暂行条例》第二十三条</w:t>
            </w:r>
          </w:p>
          <w:p w14:paraId="049B83A7">
            <w:pPr>
              <w:keepNext w:val="0"/>
              <w:keepLines w:val="0"/>
              <w:pageBreakBefore w:val="0"/>
              <w:numPr>
                <w:ilvl w:val="0"/>
                <w:numId w:val="0"/>
              </w:numPr>
              <w:kinsoku/>
              <w:wordWrap/>
              <w:overflowPunct/>
              <w:topLinePunct w:val="0"/>
              <w:autoSpaceDE/>
              <w:autoSpaceDN/>
              <w:bidi w:val="0"/>
              <w:adjustRightInd/>
              <w:snapToGrid/>
              <w:spacing w:line="400" w:lineRule="exact"/>
              <w:ind w:right="0" w:rightChars="0"/>
              <w:textAlignment w:val="auto"/>
              <w:rPr>
                <w:rFonts w:hint="default"/>
                <w:color w:val="000000"/>
                <w:lang w:val="en-US" w:eastAsia="zh-CN"/>
              </w:rPr>
            </w:pPr>
            <w:r>
              <w:rPr>
                <w:rFonts w:hint="eastAsia"/>
                <w:color w:val="000000"/>
                <w:lang w:val="en-US" w:eastAsia="zh-CN"/>
              </w:rPr>
              <w:t>4.《社会保险费征缴检查办法》第十二条</w:t>
            </w:r>
          </w:p>
        </w:tc>
      </w:tr>
      <w:tr w14:paraId="3CA0A4B4">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922" w:hRule="exact"/>
          <w:jc w:val="center"/>
        </w:trPr>
        <w:tc>
          <w:tcPr>
            <w:tcW w:w="748" w:type="dxa"/>
            <w:tcBorders>
              <w:top w:val="single" w:color="auto" w:sz="4" w:space="0"/>
              <w:left w:val="single" w:color="auto" w:sz="4" w:space="0"/>
              <w:bottom w:val="single" w:color="auto" w:sz="4" w:space="0"/>
              <w:right w:val="single" w:color="auto" w:sz="4" w:space="0"/>
            </w:tcBorders>
            <w:shd w:val="clear" w:color="auto" w:fill="FFFFFF"/>
            <w:noWrap w:val="0"/>
            <w:tcMar>
              <w:left w:w="70" w:type="dxa"/>
              <w:right w:w="70" w:type="dxa"/>
            </w:tcMar>
            <w:vAlign w:val="center"/>
          </w:tcPr>
          <w:p w14:paraId="304DC1D3">
            <w:pPr>
              <w:keepNext w:val="0"/>
              <w:keepLines w:val="0"/>
              <w:pageBreakBefore w:val="0"/>
              <w:kinsoku/>
              <w:wordWrap/>
              <w:overflowPunct/>
              <w:topLinePunct w:val="0"/>
              <w:autoSpaceDE/>
              <w:autoSpaceDN/>
              <w:bidi w:val="0"/>
              <w:adjustRightInd/>
              <w:snapToGrid/>
              <w:spacing w:line="400" w:lineRule="exact"/>
              <w:ind w:right="0" w:rightChars="0"/>
              <w:jc w:val="center"/>
              <w:textAlignment w:val="auto"/>
              <w:rPr>
                <w:rFonts w:hint="default"/>
                <w:color w:val="000000"/>
                <w:lang w:val="en-US" w:eastAsia="zh-CN"/>
              </w:rPr>
            </w:pPr>
            <w:r>
              <w:rPr>
                <w:rFonts w:hint="eastAsia"/>
                <w:color w:val="000000"/>
                <w:lang w:val="en-US" w:eastAsia="zh-CN"/>
              </w:rPr>
              <w:t>3</w:t>
            </w:r>
          </w:p>
        </w:tc>
        <w:tc>
          <w:tcPr>
            <w:tcW w:w="3213" w:type="dxa"/>
            <w:tcBorders>
              <w:top w:val="single" w:color="auto" w:sz="4" w:space="0"/>
              <w:left w:val="single" w:color="auto" w:sz="4" w:space="0"/>
              <w:bottom w:val="single" w:color="auto" w:sz="4" w:space="0"/>
              <w:right w:val="single" w:color="auto" w:sz="4" w:space="0"/>
            </w:tcBorders>
            <w:shd w:val="clear" w:color="auto" w:fill="FFFFFF"/>
            <w:noWrap w:val="0"/>
            <w:tcMar>
              <w:left w:w="70" w:type="dxa"/>
              <w:right w:w="70" w:type="dxa"/>
            </w:tcMar>
            <w:vAlign w:val="center"/>
          </w:tcPr>
          <w:p w14:paraId="74287A11">
            <w:pPr>
              <w:keepNext w:val="0"/>
              <w:keepLines w:val="0"/>
              <w:pageBreakBefore w:val="0"/>
              <w:widowControl/>
              <w:suppressLineNumbers w:val="0"/>
              <w:kinsoku/>
              <w:wordWrap/>
              <w:overflowPunct/>
              <w:topLinePunct w:val="0"/>
              <w:autoSpaceDE/>
              <w:autoSpaceDN/>
              <w:bidi w:val="0"/>
              <w:adjustRightInd/>
              <w:snapToGrid/>
              <w:spacing w:line="400" w:lineRule="exact"/>
              <w:ind w:right="0" w:rightChars="0"/>
              <w:jc w:val="left"/>
              <w:textAlignment w:val="auto"/>
              <w:rPr>
                <w:rFonts w:hint="eastAsia"/>
                <w:color w:val="000000"/>
                <w:lang w:val="en-US" w:eastAsia="zh-CN"/>
              </w:rPr>
            </w:pPr>
            <w:r>
              <w:rPr>
                <w:rFonts w:hint="eastAsia"/>
                <w:color w:val="000000"/>
                <w:lang w:val="en-US" w:eastAsia="zh-CN"/>
              </w:rPr>
              <w:t>用人单位未按照规定申报应缴纳的社会保险费数额的。</w:t>
            </w:r>
          </w:p>
          <w:p w14:paraId="19425406">
            <w:pPr>
              <w:keepNext w:val="0"/>
              <w:keepLines w:val="0"/>
              <w:pageBreakBefore w:val="0"/>
              <w:kinsoku/>
              <w:wordWrap/>
              <w:overflowPunct/>
              <w:topLinePunct w:val="0"/>
              <w:autoSpaceDE/>
              <w:autoSpaceDN/>
              <w:bidi w:val="0"/>
              <w:adjustRightInd/>
              <w:snapToGrid/>
              <w:spacing w:line="400" w:lineRule="exact"/>
              <w:ind w:right="0" w:rightChars="0"/>
              <w:textAlignment w:val="auto"/>
              <w:rPr>
                <w:color w:val="000000"/>
              </w:rPr>
            </w:pPr>
          </w:p>
        </w:tc>
        <w:tc>
          <w:tcPr>
            <w:tcW w:w="2643" w:type="dxa"/>
            <w:tcBorders>
              <w:top w:val="single" w:color="auto" w:sz="4" w:space="0"/>
              <w:left w:val="single" w:color="auto" w:sz="4" w:space="0"/>
              <w:bottom w:val="single" w:color="auto" w:sz="4" w:space="0"/>
              <w:right w:val="single" w:color="auto" w:sz="4" w:space="0"/>
            </w:tcBorders>
            <w:shd w:val="clear" w:color="auto" w:fill="FFFFFF"/>
            <w:noWrap w:val="0"/>
            <w:tcMar>
              <w:left w:w="70" w:type="dxa"/>
              <w:right w:w="70" w:type="dxa"/>
            </w:tcMar>
            <w:vAlign w:val="center"/>
          </w:tcPr>
          <w:p w14:paraId="4F86F297">
            <w:pPr>
              <w:keepNext w:val="0"/>
              <w:keepLines w:val="0"/>
              <w:pageBreakBefore w:val="0"/>
              <w:numPr>
                <w:ilvl w:val="0"/>
                <w:numId w:val="0"/>
              </w:numPr>
              <w:kinsoku/>
              <w:wordWrap/>
              <w:overflowPunct/>
              <w:topLinePunct w:val="0"/>
              <w:autoSpaceDE/>
              <w:autoSpaceDN/>
              <w:bidi w:val="0"/>
              <w:adjustRightInd/>
              <w:snapToGrid/>
              <w:spacing w:line="400" w:lineRule="exact"/>
              <w:ind w:right="0" w:rightChars="0"/>
              <w:textAlignment w:val="auto"/>
              <w:rPr>
                <w:rFonts w:hint="eastAsia"/>
                <w:color w:val="000000"/>
                <w:lang w:val="en-US" w:eastAsia="zh-CN"/>
              </w:rPr>
            </w:pPr>
            <w:r>
              <w:rPr>
                <w:rFonts w:hint="eastAsia"/>
                <w:color w:val="000000"/>
                <w:lang w:val="en-US" w:eastAsia="zh-CN"/>
              </w:rPr>
              <w:t>1.首次被发现；</w:t>
            </w:r>
          </w:p>
          <w:p w14:paraId="0283DFFE">
            <w:pPr>
              <w:keepNext w:val="0"/>
              <w:keepLines w:val="0"/>
              <w:pageBreakBefore w:val="0"/>
              <w:numPr>
                <w:ilvl w:val="0"/>
                <w:numId w:val="0"/>
              </w:numPr>
              <w:kinsoku/>
              <w:wordWrap/>
              <w:overflowPunct/>
              <w:topLinePunct w:val="0"/>
              <w:autoSpaceDE/>
              <w:autoSpaceDN/>
              <w:bidi w:val="0"/>
              <w:adjustRightInd/>
              <w:snapToGrid/>
              <w:spacing w:line="400" w:lineRule="exact"/>
              <w:ind w:right="0" w:rightChars="0"/>
              <w:textAlignment w:val="auto"/>
              <w:rPr>
                <w:rFonts w:hint="default"/>
                <w:color w:val="000000"/>
                <w:lang w:val="en-US" w:eastAsia="zh-CN"/>
              </w:rPr>
            </w:pPr>
            <w:r>
              <w:rPr>
                <w:rFonts w:hint="eastAsia"/>
                <w:color w:val="000000"/>
                <w:lang w:val="en-US" w:eastAsia="zh-CN"/>
              </w:rPr>
              <w:t>2.</w:t>
            </w:r>
            <w:r>
              <w:rPr>
                <w:rFonts w:hint="eastAsia"/>
                <w:color w:val="000000"/>
                <w:lang w:eastAsia="zh-CN"/>
              </w:rPr>
              <w:t>自行纠正或限期内</w:t>
            </w:r>
            <w:r>
              <w:rPr>
                <w:rFonts w:hint="eastAsia"/>
                <w:color w:val="000000"/>
                <w:lang w:val="en-US" w:eastAsia="zh-CN"/>
              </w:rPr>
              <w:t>申报</w:t>
            </w:r>
            <w:r>
              <w:rPr>
                <w:rFonts w:hint="eastAsia"/>
                <w:color w:val="000000"/>
                <w:lang w:eastAsia="zh-CN"/>
              </w:rPr>
              <w:t>；</w:t>
            </w:r>
          </w:p>
          <w:p w14:paraId="33D240AC">
            <w:pPr>
              <w:keepNext w:val="0"/>
              <w:keepLines w:val="0"/>
              <w:pageBreakBefore w:val="0"/>
              <w:numPr>
                <w:ilvl w:val="0"/>
                <w:numId w:val="0"/>
              </w:numPr>
              <w:kinsoku/>
              <w:wordWrap/>
              <w:overflowPunct/>
              <w:topLinePunct w:val="0"/>
              <w:autoSpaceDE/>
              <w:autoSpaceDN/>
              <w:bidi w:val="0"/>
              <w:adjustRightInd/>
              <w:snapToGrid/>
              <w:spacing w:line="400" w:lineRule="exact"/>
              <w:ind w:right="0" w:rightChars="0"/>
              <w:textAlignment w:val="auto"/>
              <w:rPr>
                <w:rFonts w:hint="eastAsia"/>
                <w:color w:val="000000"/>
              </w:rPr>
            </w:pPr>
            <w:r>
              <w:rPr>
                <w:rFonts w:hint="eastAsia"/>
                <w:color w:val="000000"/>
                <w:lang w:val="en-US" w:eastAsia="zh-CN"/>
              </w:rPr>
              <w:t>3.</w:t>
            </w:r>
            <w:r>
              <w:rPr>
                <w:rFonts w:hint="eastAsia"/>
                <w:color w:val="000000"/>
                <w:lang w:eastAsia="zh-CN"/>
              </w:rPr>
              <w:t>违法情节轻微未造成危害后果。</w:t>
            </w:r>
          </w:p>
        </w:tc>
        <w:tc>
          <w:tcPr>
            <w:tcW w:w="1842" w:type="dxa"/>
            <w:tcBorders>
              <w:top w:val="single" w:color="auto" w:sz="4" w:space="0"/>
              <w:left w:val="single" w:color="auto" w:sz="4" w:space="0"/>
              <w:bottom w:val="single" w:color="auto" w:sz="4" w:space="0"/>
              <w:right w:val="single" w:color="auto" w:sz="4" w:space="0"/>
            </w:tcBorders>
            <w:shd w:val="clear" w:color="auto" w:fill="FFFFFF"/>
            <w:noWrap w:val="0"/>
            <w:tcMar>
              <w:left w:w="70" w:type="dxa"/>
              <w:right w:w="70" w:type="dxa"/>
            </w:tcMar>
            <w:vAlign w:val="center"/>
          </w:tcPr>
          <w:p w14:paraId="4B4401D5">
            <w:pPr>
              <w:keepNext w:val="0"/>
              <w:keepLines w:val="0"/>
              <w:pageBreakBefore w:val="0"/>
              <w:widowControl/>
              <w:suppressLineNumbers w:val="0"/>
              <w:kinsoku/>
              <w:wordWrap/>
              <w:overflowPunct/>
              <w:topLinePunct w:val="0"/>
              <w:autoSpaceDE/>
              <w:autoSpaceDN/>
              <w:bidi w:val="0"/>
              <w:adjustRightInd/>
              <w:snapToGrid/>
              <w:spacing w:line="400" w:lineRule="exact"/>
              <w:ind w:right="0" w:rightChars="0"/>
              <w:jc w:val="left"/>
              <w:textAlignment w:val="auto"/>
              <w:rPr>
                <w:rFonts w:hint="eastAsia"/>
                <w:color w:val="000000"/>
                <w:lang w:eastAsia="zh-CN"/>
              </w:rPr>
            </w:pPr>
            <w:r>
              <w:rPr>
                <w:rFonts w:hint="eastAsia"/>
                <w:color w:val="000000"/>
                <w:lang w:val="en-US" w:eastAsia="zh-CN"/>
              </w:rPr>
              <w:t>1.《行政处罚法》第三十三条第一款2.《社会保险费征缴暂行条例》第二十三条</w:t>
            </w:r>
          </w:p>
          <w:p w14:paraId="445D2EF8">
            <w:pPr>
              <w:keepNext w:val="0"/>
              <w:keepLines w:val="0"/>
              <w:pageBreakBefore w:val="0"/>
              <w:kinsoku/>
              <w:wordWrap/>
              <w:overflowPunct/>
              <w:topLinePunct w:val="0"/>
              <w:autoSpaceDE/>
              <w:autoSpaceDN/>
              <w:bidi w:val="0"/>
              <w:adjustRightInd/>
              <w:snapToGrid/>
              <w:spacing w:line="400" w:lineRule="exact"/>
              <w:ind w:right="0" w:rightChars="0"/>
              <w:textAlignment w:val="auto"/>
              <w:rPr>
                <w:rFonts w:hint="eastAsia"/>
                <w:color w:val="000000"/>
                <w:lang w:val="en-US" w:eastAsia="zh-CN"/>
              </w:rPr>
            </w:pPr>
            <w:r>
              <w:rPr>
                <w:rFonts w:hint="eastAsia"/>
                <w:color w:val="000000"/>
                <w:lang w:val="en-US" w:eastAsia="zh-CN"/>
              </w:rPr>
              <w:t>3.《社会保险费征缴检查办法》第十二条</w:t>
            </w:r>
          </w:p>
        </w:tc>
      </w:tr>
      <w:tr w14:paraId="5C798538">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9042" w:hRule="exact"/>
          <w:jc w:val="center"/>
        </w:trPr>
        <w:tc>
          <w:tcPr>
            <w:tcW w:w="748" w:type="dxa"/>
            <w:tcBorders>
              <w:top w:val="single" w:color="auto" w:sz="4" w:space="0"/>
              <w:left w:val="single" w:color="auto" w:sz="4" w:space="0"/>
              <w:bottom w:val="single" w:color="auto" w:sz="4" w:space="0"/>
              <w:right w:val="single" w:color="auto" w:sz="4" w:space="0"/>
            </w:tcBorders>
            <w:shd w:val="clear" w:color="auto" w:fill="FFFFFF"/>
            <w:noWrap w:val="0"/>
            <w:tcMar>
              <w:left w:w="70" w:type="dxa"/>
              <w:right w:w="70" w:type="dxa"/>
            </w:tcMar>
            <w:vAlign w:val="center"/>
          </w:tcPr>
          <w:p w14:paraId="732C9892">
            <w:pPr>
              <w:keepNext w:val="0"/>
              <w:keepLines w:val="0"/>
              <w:pageBreakBefore w:val="0"/>
              <w:kinsoku/>
              <w:wordWrap/>
              <w:overflowPunct/>
              <w:topLinePunct w:val="0"/>
              <w:autoSpaceDE/>
              <w:autoSpaceDN/>
              <w:bidi w:val="0"/>
              <w:adjustRightInd/>
              <w:snapToGrid/>
              <w:spacing w:line="400" w:lineRule="exact"/>
              <w:ind w:right="0" w:rightChars="0"/>
              <w:jc w:val="center"/>
              <w:textAlignment w:val="auto"/>
              <w:rPr>
                <w:rFonts w:hint="default"/>
                <w:color w:val="000000"/>
                <w:lang w:val="en-US" w:eastAsia="zh-CN"/>
              </w:rPr>
            </w:pPr>
            <w:r>
              <w:rPr>
                <w:rFonts w:hint="eastAsia"/>
                <w:color w:val="000000"/>
                <w:lang w:val="en-US" w:eastAsia="zh-CN"/>
              </w:rPr>
              <w:t>4</w:t>
            </w:r>
          </w:p>
        </w:tc>
        <w:tc>
          <w:tcPr>
            <w:tcW w:w="3213" w:type="dxa"/>
            <w:tcBorders>
              <w:top w:val="single" w:color="auto" w:sz="4" w:space="0"/>
              <w:left w:val="single" w:color="auto" w:sz="4" w:space="0"/>
              <w:bottom w:val="single" w:color="auto" w:sz="4" w:space="0"/>
              <w:right w:val="single" w:color="auto" w:sz="4" w:space="0"/>
            </w:tcBorders>
            <w:shd w:val="clear" w:color="auto" w:fill="FFFFFF"/>
            <w:noWrap w:val="0"/>
            <w:tcMar>
              <w:left w:w="70" w:type="dxa"/>
              <w:right w:w="70" w:type="dxa"/>
            </w:tcMar>
            <w:vAlign w:val="center"/>
          </w:tcPr>
          <w:p w14:paraId="39C4D7B0">
            <w:pPr>
              <w:keepNext w:val="0"/>
              <w:keepLines w:val="0"/>
              <w:pageBreakBefore w:val="0"/>
              <w:kinsoku/>
              <w:wordWrap/>
              <w:overflowPunct/>
              <w:topLinePunct w:val="0"/>
              <w:autoSpaceDE/>
              <w:autoSpaceDN/>
              <w:bidi w:val="0"/>
              <w:adjustRightInd/>
              <w:snapToGrid/>
              <w:spacing w:line="400" w:lineRule="exact"/>
              <w:ind w:right="0" w:rightChars="0"/>
              <w:textAlignment w:val="auto"/>
              <w:rPr>
                <w:color w:val="000000"/>
              </w:rPr>
            </w:pPr>
            <w:r>
              <w:rPr>
                <w:rFonts w:hint="eastAsia"/>
                <w:color w:val="000000"/>
              </w:rPr>
              <w:t>（一）未建立医疗保障基金使用内部管理制度，或者没有专门机构或者人员负责医疗保障基金使用管理工作;（二）未按照规定保管财务账目、会计凭证、处方、病历、治疗检查记录、费用明细、药品和医用耗材出入库记录等资料;（三）未按照规定通过医疗保障信息系统传送医疗保障基金使用有关数据;（四）未按照规定向医疗保障行政部门报告医疗保障基金使用监督管理所需信息;（五）未按照规定向社会公开医药费用、费用结构等信息;（六）除急诊、抢救等特殊情形外，未经参保人员或者其近亲属、监护人同意提供医疗保障基金支付范围以外的医药服务;（七）拒绝医疗保障等行政部门监督检查或者提供虚假情况。</w:t>
            </w:r>
          </w:p>
        </w:tc>
        <w:tc>
          <w:tcPr>
            <w:tcW w:w="2643" w:type="dxa"/>
            <w:tcBorders>
              <w:top w:val="single" w:color="auto" w:sz="4" w:space="0"/>
              <w:left w:val="single" w:color="auto" w:sz="4" w:space="0"/>
              <w:bottom w:val="single" w:color="auto" w:sz="4" w:space="0"/>
              <w:right w:val="single" w:color="auto" w:sz="4" w:space="0"/>
            </w:tcBorders>
            <w:shd w:val="clear" w:color="auto" w:fill="FFFFFF"/>
            <w:noWrap w:val="0"/>
            <w:tcMar>
              <w:left w:w="70" w:type="dxa"/>
              <w:right w:w="70" w:type="dxa"/>
            </w:tcMar>
            <w:vAlign w:val="center"/>
          </w:tcPr>
          <w:p w14:paraId="23521189">
            <w:pPr>
              <w:keepNext w:val="0"/>
              <w:keepLines w:val="0"/>
              <w:pageBreakBefore w:val="0"/>
              <w:kinsoku/>
              <w:wordWrap/>
              <w:overflowPunct/>
              <w:topLinePunct w:val="0"/>
              <w:autoSpaceDE/>
              <w:autoSpaceDN/>
              <w:bidi w:val="0"/>
              <w:adjustRightInd/>
              <w:snapToGrid/>
              <w:spacing w:line="400" w:lineRule="exact"/>
              <w:ind w:right="0" w:rightChars="0"/>
              <w:textAlignment w:val="auto"/>
              <w:rPr>
                <w:rFonts w:hint="eastAsia"/>
                <w:color w:val="000000"/>
                <w:lang w:val="en-US" w:eastAsia="zh-CN"/>
              </w:rPr>
            </w:pPr>
            <w:r>
              <w:rPr>
                <w:rFonts w:hint="eastAsia"/>
                <w:color w:val="000000"/>
              </w:rPr>
              <w:t>初次违法且</w:t>
            </w:r>
            <w:r>
              <w:rPr>
                <w:rFonts w:hint="eastAsia"/>
                <w:color w:val="000000"/>
                <w:lang w:val="en-US" w:eastAsia="zh-CN"/>
              </w:rPr>
              <w:t>自行纠正或者在限期内改正的。</w:t>
            </w:r>
          </w:p>
        </w:tc>
        <w:tc>
          <w:tcPr>
            <w:tcW w:w="1842" w:type="dxa"/>
            <w:tcBorders>
              <w:top w:val="single" w:color="auto" w:sz="4" w:space="0"/>
              <w:left w:val="single" w:color="auto" w:sz="4" w:space="0"/>
              <w:bottom w:val="single" w:color="auto" w:sz="4" w:space="0"/>
              <w:right w:val="single" w:color="auto" w:sz="4" w:space="0"/>
            </w:tcBorders>
            <w:shd w:val="clear" w:color="auto" w:fill="FFFFFF"/>
            <w:noWrap w:val="0"/>
            <w:tcMar>
              <w:left w:w="70" w:type="dxa"/>
              <w:right w:w="70" w:type="dxa"/>
            </w:tcMar>
            <w:vAlign w:val="center"/>
          </w:tcPr>
          <w:p w14:paraId="4513E670">
            <w:pPr>
              <w:keepNext w:val="0"/>
              <w:keepLines w:val="0"/>
              <w:pageBreakBefore w:val="0"/>
              <w:kinsoku/>
              <w:wordWrap/>
              <w:overflowPunct/>
              <w:topLinePunct w:val="0"/>
              <w:autoSpaceDE/>
              <w:autoSpaceDN/>
              <w:bidi w:val="0"/>
              <w:adjustRightInd/>
              <w:snapToGrid/>
              <w:spacing w:line="400" w:lineRule="exact"/>
              <w:ind w:right="0" w:rightChars="0"/>
              <w:textAlignment w:val="auto"/>
              <w:rPr>
                <w:rFonts w:hint="eastAsia"/>
                <w:color w:val="000000"/>
                <w:lang w:val="en-US" w:eastAsia="zh-CN"/>
              </w:rPr>
            </w:pPr>
            <w:r>
              <w:rPr>
                <w:rFonts w:hint="eastAsia"/>
                <w:color w:val="000000"/>
                <w:lang w:val="en-US" w:eastAsia="zh-CN"/>
              </w:rPr>
              <w:t>1.《行政处罚法》第三十三条第一款2.</w:t>
            </w:r>
            <w:r>
              <w:rPr>
                <w:rFonts w:hint="eastAsia"/>
                <w:color w:val="000000"/>
              </w:rPr>
              <w:t>《医疗保障基金使用监督管理条例》</w:t>
            </w:r>
            <w:r>
              <w:rPr>
                <w:rFonts w:hint="eastAsia"/>
                <w:color w:val="000000"/>
                <w:lang w:eastAsia="zh-CN"/>
              </w:rPr>
              <w:t>第三十九条</w:t>
            </w:r>
          </w:p>
        </w:tc>
      </w:tr>
    </w:tbl>
    <w:p w14:paraId="761C9886">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rightChars="0" w:firstLine="0"/>
        <w:jc w:val="left"/>
        <w:textAlignment w:val="auto"/>
        <w:rPr>
          <w:rFonts w:hint="eastAsia" w:ascii="微软雅黑" w:hAnsi="微软雅黑" w:eastAsia="微软雅黑" w:cs="微软雅黑"/>
          <w:i w:val="0"/>
          <w:iCs w:val="0"/>
          <w:caps w:val="0"/>
          <w:color w:val="404040"/>
          <w:spacing w:val="0"/>
          <w:sz w:val="24"/>
          <w:szCs w:val="24"/>
        </w:rPr>
      </w:pPr>
    </w:p>
    <w:p w14:paraId="304CA494">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rightChars="0" w:firstLine="0"/>
        <w:jc w:val="center"/>
        <w:textAlignment w:val="auto"/>
        <w:rPr>
          <w:rFonts w:hint="eastAsia" w:ascii="微软雅黑" w:hAnsi="微软雅黑" w:eastAsia="微软雅黑" w:cs="微软雅黑"/>
          <w:i w:val="0"/>
          <w:iCs w:val="0"/>
          <w:caps w:val="0"/>
          <w:color w:val="404040"/>
          <w:spacing w:val="0"/>
          <w:sz w:val="24"/>
          <w:szCs w:val="24"/>
        </w:rPr>
      </w:pPr>
    </w:p>
    <w:p w14:paraId="47C4C701">
      <w:pPr>
        <w:keepNext w:val="0"/>
        <w:keepLines w:val="0"/>
        <w:pageBreakBefore w:val="0"/>
        <w:kinsoku/>
        <w:wordWrap/>
        <w:overflowPunct/>
        <w:topLinePunct w:val="0"/>
        <w:autoSpaceDE/>
        <w:autoSpaceDN/>
        <w:bidi w:val="0"/>
        <w:adjustRightInd/>
        <w:snapToGrid/>
        <w:spacing w:line="560" w:lineRule="exact"/>
        <w:ind w:right="0" w:rightChars="0"/>
        <w:textAlignment w:val="auto"/>
      </w:pPr>
    </w:p>
    <w:p w14:paraId="66F6D1C3">
      <w:pPr>
        <w:pStyle w:val="2"/>
      </w:pPr>
    </w:p>
    <w:p w14:paraId="0E8ACC9D">
      <w:pPr>
        <w:pStyle w:val="2"/>
      </w:pPr>
    </w:p>
    <w:p w14:paraId="5CFA8E5D">
      <w:pPr>
        <w:pStyle w:val="2"/>
      </w:pPr>
    </w:p>
    <w:p w14:paraId="6A21FA08">
      <w:pPr>
        <w:jc w:val="center"/>
        <w:rPr>
          <w:rFonts w:hint="eastAsia" w:ascii="Calibri" w:hAnsi="Calibri" w:eastAsia="方正小标宋简体" w:cs="Times New Roman"/>
          <w:b w:val="0"/>
          <w:bCs/>
          <w:kern w:val="44"/>
          <w:sz w:val="36"/>
          <w:szCs w:val="22"/>
          <w:lang w:val="en-US" w:eastAsia="zh-CN" w:bidi="ar-SA"/>
        </w:rPr>
      </w:pPr>
    </w:p>
    <w:p w14:paraId="4751C054">
      <w:pPr>
        <w:jc w:val="left"/>
        <w:rPr>
          <w:rFonts w:hint="eastAsia" w:ascii="黑体" w:hAnsi="黑体" w:eastAsia="黑体" w:cs="黑体"/>
          <w:sz w:val="32"/>
          <w:szCs w:val="32"/>
          <w:lang w:val="en-US" w:eastAsia="zh-CN"/>
        </w:rPr>
      </w:pPr>
    </w:p>
    <w:p w14:paraId="193D1808">
      <w:pPr>
        <w:pStyle w:val="2"/>
        <w:ind w:left="0" w:leftChars="0" w:firstLine="0" w:firstLineChars="0"/>
        <w:rPr>
          <w:rFonts w:hint="eastAsia" w:ascii="黑体" w:hAnsi="黑体" w:eastAsia="黑体" w:cs="黑体"/>
          <w:sz w:val="32"/>
          <w:szCs w:val="32"/>
          <w:lang w:val="en-US" w:eastAsia="zh-CN"/>
        </w:rPr>
      </w:pPr>
    </w:p>
    <w:p w14:paraId="42E5F20F">
      <w:pPr>
        <w:jc w:val="left"/>
        <w:rPr>
          <w:rFonts w:hint="eastAsia" w:ascii="Calibri" w:hAnsi="Calibri" w:eastAsia="方正小标宋简体" w:cs="Times New Roman"/>
          <w:b w:val="0"/>
          <w:bCs/>
          <w:kern w:val="44"/>
          <w:sz w:val="36"/>
          <w:szCs w:val="22"/>
          <w:lang w:val="en-US" w:eastAsia="zh-CN" w:bidi="ar-SA"/>
        </w:rPr>
      </w:pPr>
      <w:r>
        <w:rPr>
          <w:rFonts w:hint="eastAsia" w:ascii="黑体" w:hAnsi="黑体" w:eastAsia="黑体" w:cs="黑体"/>
          <w:sz w:val="32"/>
          <w:szCs w:val="32"/>
          <w:lang w:val="en-US" w:eastAsia="zh-CN"/>
        </w:rPr>
        <w:t>附件3</w:t>
      </w:r>
    </w:p>
    <w:p w14:paraId="0ED49242">
      <w:pPr>
        <w:jc w:val="center"/>
        <w:rPr>
          <w:rFonts w:hint="eastAsia" w:ascii="Calibri" w:hAnsi="Calibri" w:eastAsia="方正小标宋简体" w:cs="Times New Roman"/>
          <w:b w:val="0"/>
          <w:bCs/>
          <w:kern w:val="44"/>
          <w:sz w:val="36"/>
          <w:szCs w:val="22"/>
          <w:lang w:val="en-US" w:eastAsia="zh-CN" w:bidi="ar-SA"/>
        </w:rPr>
      </w:pPr>
      <w:r>
        <w:rPr>
          <w:rFonts w:hint="eastAsia" w:ascii="Calibri" w:hAnsi="Calibri" w:eastAsia="方正小标宋简体" w:cs="Times New Roman"/>
          <w:b w:val="0"/>
          <w:bCs/>
          <w:kern w:val="44"/>
          <w:sz w:val="36"/>
          <w:szCs w:val="22"/>
          <w:lang w:val="en-US" w:eastAsia="zh-CN" w:bidi="ar-SA"/>
        </w:rPr>
        <w:t>守法诚信承诺书</w:t>
      </w:r>
    </w:p>
    <w:p w14:paraId="2D57855C">
      <w:pPr>
        <w:pStyle w:val="9"/>
        <w:spacing w:before="0" w:beforeAutospacing="0" w:after="0" w:afterAutospacing="0" w:line="560" w:lineRule="exact"/>
        <w:jc w:val="center"/>
        <w:rPr>
          <w:rFonts w:ascii="仿宋_GB2312" w:eastAsia="仿宋_GB2312"/>
          <w:color w:val="auto"/>
          <w:sz w:val="32"/>
          <w:szCs w:val="32"/>
          <w:highlight w:val="none"/>
        </w:rPr>
      </w:pPr>
    </w:p>
    <w:p w14:paraId="27DF4395">
      <w:pPr>
        <w:pStyle w:val="9"/>
        <w:spacing w:before="0" w:beforeAutospacing="0" w:after="0" w:afterAutospacing="0" w:line="560" w:lineRule="exact"/>
        <w:rPr>
          <w:rFonts w:hint="eastAsia" w:ascii="方正仿宋_GBK" w:hAnsi="方正仿宋_GBK" w:eastAsia="方正仿宋_GBK" w:cs="方正仿宋_GBK"/>
          <w:color w:val="auto"/>
          <w:kern w:val="0"/>
          <w:sz w:val="32"/>
          <w:szCs w:val="32"/>
          <w:highlight w:val="none"/>
          <w:u w:val="none"/>
          <w:lang w:val="en-US" w:eastAsia="zh-CN" w:bidi="ar-SA"/>
        </w:rPr>
      </w:pPr>
      <w:r>
        <w:rPr>
          <w:rFonts w:hint="eastAsia" w:ascii="方正仿宋_GBK" w:hAnsi="方正仿宋_GBK" w:eastAsia="方正仿宋_GBK" w:cs="方正仿宋_GBK"/>
          <w:color w:val="auto"/>
          <w:kern w:val="0"/>
          <w:sz w:val="32"/>
          <w:szCs w:val="32"/>
          <w:highlight w:val="none"/>
          <w:u w:val="single"/>
          <w:lang w:val="en-US" w:eastAsia="zh-CN" w:bidi="ar-SA"/>
        </w:rPr>
        <w:t>xxxxxxxx</w:t>
      </w:r>
      <w:r>
        <w:rPr>
          <w:rFonts w:hint="eastAsia" w:ascii="方正仿宋_GBK" w:hAnsi="方正仿宋_GBK" w:eastAsia="方正仿宋_GBK" w:cs="方正仿宋_GBK"/>
          <w:color w:val="auto"/>
          <w:kern w:val="0"/>
          <w:sz w:val="32"/>
          <w:szCs w:val="32"/>
          <w:highlight w:val="none"/>
          <w:u w:val="none"/>
          <w:lang w:val="en-US" w:eastAsia="zh-CN" w:bidi="ar-SA"/>
        </w:rPr>
        <w:t>：</w:t>
      </w:r>
    </w:p>
    <w:p w14:paraId="1A72BCA8">
      <w:pPr>
        <w:pStyle w:val="9"/>
        <w:spacing w:before="0" w:beforeAutospacing="0" w:after="0" w:afterAutospacing="0" w:line="560" w:lineRule="exact"/>
        <w:ind w:firstLine="640" w:firstLineChars="200"/>
        <w:rPr>
          <w:rFonts w:hint="eastAsia" w:ascii="方正仿宋_GBK" w:hAnsi="方正仿宋_GBK" w:eastAsia="方正仿宋_GBK" w:cs="方正仿宋_GBK"/>
          <w:color w:val="auto"/>
          <w:kern w:val="0"/>
          <w:sz w:val="32"/>
          <w:szCs w:val="32"/>
          <w:highlight w:val="none"/>
          <w:u w:val="none"/>
          <w:lang w:val="en-US" w:eastAsia="zh-CN" w:bidi="ar-SA"/>
        </w:rPr>
      </w:pPr>
      <w:r>
        <w:rPr>
          <w:rFonts w:hint="eastAsia" w:ascii="方正仿宋_GBK" w:hAnsi="方正仿宋_GBK" w:eastAsia="方正仿宋_GBK" w:cs="方正仿宋_GBK"/>
          <w:color w:val="auto"/>
          <w:kern w:val="0"/>
          <w:sz w:val="32"/>
          <w:szCs w:val="32"/>
          <w:highlight w:val="none"/>
          <w:u w:val="none"/>
          <w:lang w:val="en-US" w:eastAsia="zh-CN" w:bidi="ar-SA"/>
        </w:rPr>
        <w:t>我单位就你局指出的</w:t>
      </w:r>
      <w:r>
        <w:rPr>
          <w:rFonts w:hint="eastAsia" w:ascii="方正仿宋_GBK" w:hAnsi="方正仿宋_GBK" w:eastAsia="方正仿宋_GBK" w:cs="方正仿宋_GBK"/>
          <w:color w:val="auto"/>
          <w:kern w:val="0"/>
          <w:sz w:val="32"/>
          <w:szCs w:val="32"/>
          <w:highlight w:val="none"/>
          <w:u w:val="single"/>
          <w:lang w:val="en-US" w:eastAsia="zh-CN" w:bidi="ar-SA"/>
        </w:rPr>
        <w:t xml:space="preserve">        </w:t>
      </w:r>
      <w:r>
        <w:rPr>
          <w:rFonts w:hint="eastAsia" w:ascii="方正仿宋_GBK" w:hAnsi="方正仿宋_GBK" w:eastAsia="方正仿宋_GBK" w:cs="方正仿宋_GBK"/>
          <w:color w:val="auto"/>
          <w:kern w:val="0"/>
          <w:sz w:val="32"/>
          <w:szCs w:val="32"/>
          <w:highlight w:val="none"/>
          <w:u w:val="none"/>
          <w:lang w:val="en-US" w:eastAsia="zh-CN" w:bidi="ar-SA"/>
        </w:rPr>
        <w:t>问题进行了研究，分析了产生问题的原因，充分认识到问题的危害性。为维护</w:t>
      </w:r>
      <w:r>
        <w:rPr>
          <w:rFonts w:hint="eastAsia" w:ascii="方正仿宋_GBK" w:hAnsi="方正仿宋_GBK" w:eastAsia="方正仿宋_GBK" w:cs="方正仿宋_GBK"/>
          <w:color w:val="auto"/>
          <w:kern w:val="0"/>
          <w:sz w:val="32"/>
          <w:szCs w:val="32"/>
          <w:highlight w:val="none"/>
          <w:u w:val="none"/>
          <w:lang w:val="en-US" w:eastAsia="zh-Hans" w:bidi="ar-SA"/>
        </w:rPr>
        <w:t>医疗保障</w:t>
      </w:r>
      <w:r>
        <w:rPr>
          <w:rFonts w:hint="eastAsia" w:ascii="方正仿宋_GBK" w:hAnsi="方正仿宋_GBK" w:eastAsia="方正仿宋_GBK" w:cs="方正仿宋_GBK"/>
          <w:color w:val="auto"/>
          <w:kern w:val="0"/>
          <w:sz w:val="32"/>
          <w:szCs w:val="32"/>
          <w:highlight w:val="none"/>
          <w:u w:val="none"/>
          <w:lang w:val="en-US" w:eastAsia="zh-CN" w:bidi="ar-SA"/>
        </w:rPr>
        <w:t>基金安全，促进</w:t>
      </w:r>
      <w:r>
        <w:rPr>
          <w:rFonts w:hint="eastAsia" w:ascii="方正仿宋_GBK" w:hAnsi="方正仿宋_GBK" w:eastAsia="方正仿宋_GBK" w:cs="方正仿宋_GBK"/>
          <w:color w:val="auto"/>
          <w:kern w:val="0"/>
          <w:sz w:val="32"/>
          <w:szCs w:val="32"/>
          <w:highlight w:val="none"/>
          <w:u w:val="none"/>
          <w:lang w:val="en-US" w:eastAsia="zh-Hans" w:bidi="ar-SA"/>
        </w:rPr>
        <w:t>医疗保障</w:t>
      </w:r>
      <w:r>
        <w:rPr>
          <w:rFonts w:hint="eastAsia" w:ascii="方正仿宋_GBK" w:hAnsi="方正仿宋_GBK" w:eastAsia="方正仿宋_GBK" w:cs="方正仿宋_GBK"/>
          <w:color w:val="auto"/>
          <w:kern w:val="0"/>
          <w:sz w:val="32"/>
          <w:szCs w:val="32"/>
          <w:highlight w:val="none"/>
          <w:u w:val="none"/>
          <w:lang w:val="en-US" w:eastAsia="zh-CN" w:bidi="ar-SA"/>
        </w:rPr>
        <w:t xml:space="preserve">基金有效使用，我单位郑重承诺： </w:t>
      </w:r>
    </w:p>
    <w:p w14:paraId="20A3CAE4">
      <w:pPr>
        <w:pStyle w:val="9"/>
        <w:spacing w:before="0" w:beforeAutospacing="0" w:after="0" w:afterAutospacing="0" w:line="560" w:lineRule="exact"/>
        <w:ind w:firstLine="648"/>
        <w:jc w:val="both"/>
        <w:rPr>
          <w:rFonts w:hint="eastAsia" w:ascii="方正仿宋_GBK" w:hAnsi="方正仿宋_GBK" w:eastAsia="方正仿宋_GBK" w:cs="方正仿宋_GBK"/>
          <w:color w:val="auto"/>
          <w:kern w:val="0"/>
          <w:sz w:val="32"/>
          <w:szCs w:val="32"/>
          <w:highlight w:val="none"/>
          <w:u w:val="none"/>
          <w:lang w:val="en-US" w:eastAsia="zh-CN" w:bidi="ar-SA"/>
        </w:rPr>
      </w:pPr>
      <w:bookmarkStart w:id="1" w:name="_Toc573501470_WPSOffice_Level1"/>
      <w:bookmarkStart w:id="2" w:name="_Toc1655703825_WPSOffice_Level1"/>
      <w:bookmarkStart w:id="3" w:name="_Toc1881778584_WPSOffice_Level1"/>
      <w:bookmarkStart w:id="4" w:name="_Toc1552590251_WPSOffice_Level1"/>
      <w:r>
        <w:rPr>
          <w:rFonts w:hint="eastAsia" w:ascii="方正仿宋_GBK" w:hAnsi="方正仿宋_GBK" w:eastAsia="方正仿宋_GBK" w:cs="方正仿宋_GBK"/>
          <w:color w:val="auto"/>
          <w:kern w:val="0"/>
          <w:sz w:val="32"/>
          <w:szCs w:val="32"/>
          <w:highlight w:val="none"/>
          <w:u w:val="none"/>
          <w:lang w:val="en-US" w:eastAsia="zh-CN" w:bidi="ar-SA"/>
        </w:rPr>
        <w:t>1.</w:t>
      </w:r>
      <w:bookmarkEnd w:id="1"/>
      <w:bookmarkEnd w:id="2"/>
      <w:bookmarkEnd w:id="3"/>
      <w:bookmarkEnd w:id="4"/>
    </w:p>
    <w:p w14:paraId="1DC7A352">
      <w:pPr>
        <w:pStyle w:val="9"/>
        <w:spacing w:before="0" w:beforeAutospacing="0" w:after="0" w:afterAutospacing="0" w:line="560" w:lineRule="exact"/>
        <w:ind w:firstLine="640" w:firstLineChars="200"/>
        <w:jc w:val="both"/>
        <w:rPr>
          <w:rFonts w:hint="eastAsia" w:ascii="方正仿宋_GBK" w:hAnsi="方正仿宋_GBK" w:eastAsia="方正仿宋_GBK" w:cs="方正仿宋_GBK"/>
          <w:color w:val="auto"/>
          <w:kern w:val="0"/>
          <w:sz w:val="32"/>
          <w:szCs w:val="32"/>
          <w:highlight w:val="none"/>
          <w:u w:val="none"/>
          <w:lang w:val="en-US" w:eastAsia="zh-CN" w:bidi="ar-SA"/>
        </w:rPr>
      </w:pPr>
      <w:bookmarkStart w:id="5" w:name="_Toc1457960740_WPSOffice_Level1"/>
      <w:bookmarkStart w:id="6" w:name="_Toc130954984_WPSOffice_Level1"/>
      <w:bookmarkStart w:id="7" w:name="_Toc691791141_WPSOffice_Level1"/>
      <w:bookmarkStart w:id="8" w:name="_Toc1417230469_WPSOffice_Level1"/>
      <w:r>
        <w:rPr>
          <w:rFonts w:hint="eastAsia" w:ascii="方正仿宋_GBK" w:hAnsi="方正仿宋_GBK" w:eastAsia="方正仿宋_GBK" w:cs="方正仿宋_GBK"/>
          <w:color w:val="auto"/>
          <w:kern w:val="0"/>
          <w:sz w:val="32"/>
          <w:szCs w:val="32"/>
          <w:highlight w:val="none"/>
          <w:u w:val="none"/>
          <w:lang w:val="en-US" w:eastAsia="zh-CN" w:bidi="ar-SA"/>
        </w:rPr>
        <w:t>2.</w:t>
      </w:r>
      <w:bookmarkEnd w:id="5"/>
      <w:bookmarkEnd w:id="6"/>
      <w:bookmarkEnd w:id="7"/>
      <w:bookmarkEnd w:id="8"/>
    </w:p>
    <w:p w14:paraId="0368D43D">
      <w:pPr>
        <w:pStyle w:val="9"/>
        <w:spacing w:before="0" w:beforeAutospacing="0" w:after="0" w:afterAutospacing="0" w:line="560" w:lineRule="exact"/>
        <w:ind w:firstLine="640" w:firstLineChars="200"/>
        <w:jc w:val="both"/>
        <w:rPr>
          <w:rFonts w:hint="eastAsia" w:ascii="方正仿宋_GBK" w:hAnsi="方正仿宋_GBK" w:eastAsia="方正仿宋_GBK" w:cs="方正仿宋_GBK"/>
          <w:color w:val="auto"/>
          <w:kern w:val="0"/>
          <w:sz w:val="32"/>
          <w:szCs w:val="32"/>
          <w:highlight w:val="none"/>
          <w:u w:val="none"/>
          <w:lang w:val="en-US" w:eastAsia="zh-CN" w:bidi="ar-SA"/>
        </w:rPr>
      </w:pPr>
      <w:r>
        <w:rPr>
          <w:rFonts w:hint="eastAsia" w:ascii="方正仿宋_GBK" w:hAnsi="方正仿宋_GBK" w:eastAsia="方正仿宋_GBK" w:cs="方正仿宋_GBK"/>
          <w:color w:val="auto"/>
          <w:kern w:val="0"/>
          <w:sz w:val="32"/>
          <w:szCs w:val="32"/>
          <w:highlight w:val="none"/>
          <w:u w:val="none"/>
          <w:lang w:val="en-US" w:eastAsia="zh-CN" w:bidi="ar-SA"/>
        </w:rPr>
        <w:t>如违反医疗保障基金监管法律、法规和规章规定，造成</w:t>
      </w:r>
      <w:r>
        <w:rPr>
          <w:rFonts w:hint="eastAsia" w:ascii="方正仿宋_GBK" w:hAnsi="方正仿宋_GBK" w:eastAsia="方正仿宋_GBK" w:cs="方正仿宋_GBK"/>
          <w:color w:val="auto"/>
          <w:kern w:val="0"/>
          <w:sz w:val="32"/>
          <w:szCs w:val="32"/>
          <w:highlight w:val="none"/>
          <w:u w:val="none"/>
          <w:lang w:val="en-US" w:eastAsia="zh-Hans" w:bidi="ar-SA"/>
        </w:rPr>
        <w:t>医疗保障</w:t>
      </w:r>
      <w:r>
        <w:rPr>
          <w:rFonts w:hint="eastAsia" w:ascii="方正仿宋_GBK" w:hAnsi="方正仿宋_GBK" w:eastAsia="方正仿宋_GBK" w:cs="方正仿宋_GBK"/>
          <w:color w:val="auto"/>
          <w:kern w:val="0"/>
          <w:sz w:val="32"/>
          <w:szCs w:val="32"/>
          <w:highlight w:val="none"/>
          <w:u w:val="none"/>
          <w:lang w:val="en-US" w:eastAsia="zh-CN" w:bidi="ar-SA"/>
        </w:rPr>
        <w:t>基金损失，愿承担法律责任。</w:t>
      </w:r>
    </w:p>
    <w:p w14:paraId="3CE2F5AE">
      <w:pPr>
        <w:pStyle w:val="9"/>
        <w:spacing w:before="0" w:beforeAutospacing="0" w:after="0" w:afterAutospacing="0" w:line="560" w:lineRule="exact"/>
        <w:jc w:val="both"/>
        <w:rPr>
          <w:rFonts w:hint="eastAsia" w:ascii="方正仿宋_GBK" w:hAnsi="方正仿宋_GBK" w:eastAsia="方正仿宋_GBK" w:cs="方正仿宋_GBK"/>
          <w:color w:val="auto"/>
          <w:kern w:val="0"/>
          <w:sz w:val="32"/>
          <w:szCs w:val="32"/>
          <w:highlight w:val="none"/>
          <w:u w:val="none"/>
          <w:lang w:val="en-US" w:eastAsia="zh-CN" w:bidi="ar-SA"/>
        </w:rPr>
      </w:pPr>
      <w:r>
        <w:rPr>
          <w:rFonts w:hint="eastAsia" w:ascii="方正仿宋_GBK" w:hAnsi="方正仿宋_GBK" w:eastAsia="方正仿宋_GBK" w:cs="方正仿宋_GBK"/>
          <w:color w:val="auto"/>
          <w:kern w:val="0"/>
          <w:sz w:val="32"/>
          <w:szCs w:val="32"/>
          <w:highlight w:val="none"/>
          <w:u w:val="none"/>
          <w:lang w:val="en-US" w:eastAsia="zh-CN" w:bidi="ar-SA"/>
        </w:rPr>
        <w:t xml:space="preserve">    法定代表人（负责人）签字：</w:t>
      </w:r>
    </w:p>
    <w:p w14:paraId="71D10690">
      <w:pPr>
        <w:pStyle w:val="9"/>
        <w:spacing w:before="0" w:beforeAutospacing="0" w:after="0" w:afterAutospacing="0" w:line="560" w:lineRule="exact"/>
        <w:jc w:val="both"/>
        <w:rPr>
          <w:rFonts w:hint="eastAsia" w:ascii="方正仿宋_GBK" w:hAnsi="方正仿宋_GBK" w:eastAsia="方正仿宋_GBK" w:cs="方正仿宋_GBK"/>
          <w:color w:val="auto"/>
          <w:kern w:val="0"/>
          <w:sz w:val="32"/>
          <w:szCs w:val="32"/>
          <w:highlight w:val="none"/>
          <w:u w:val="none"/>
          <w:lang w:val="en-US" w:eastAsia="zh-CN" w:bidi="ar-SA"/>
        </w:rPr>
      </w:pPr>
    </w:p>
    <w:p w14:paraId="293617BA">
      <w:pPr>
        <w:pStyle w:val="9"/>
        <w:spacing w:before="0" w:beforeAutospacing="0" w:after="0" w:afterAutospacing="0" w:line="560" w:lineRule="exact"/>
        <w:jc w:val="both"/>
        <w:rPr>
          <w:rFonts w:hint="eastAsia" w:ascii="方正仿宋_GBK" w:hAnsi="方正仿宋_GBK" w:eastAsia="方正仿宋_GBK" w:cs="方正仿宋_GBK"/>
          <w:color w:val="auto"/>
          <w:kern w:val="0"/>
          <w:sz w:val="32"/>
          <w:szCs w:val="32"/>
          <w:highlight w:val="none"/>
          <w:u w:val="none"/>
          <w:lang w:val="en-US" w:eastAsia="zh-CN" w:bidi="ar-SA"/>
        </w:rPr>
      </w:pPr>
    </w:p>
    <w:p w14:paraId="119BB5D0">
      <w:pPr>
        <w:pStyle w:val="9"/>
        <w:spacing w:before="0" w:beforeAutospacing="0" w:after="0" w:afterAutospacing="0" w:line="560" w:lineRule="exact"/>
        <w:jc w:val="both"/>
        <w:rPr>
          <w:rFonts w:hint="eastAsia" w:ascii="方正仿宋_GBK" w:hAnsi="方正仿宋_GBK" w:eastAsia="方正仿宋_GBK" w:cs="方正仿宋_GBK"/>
          <w:color w:val="auto"/>
          <w:kern w:val="0"/>
          <w:sz w:val="32"/>
          <w:szCs w:val="32"/>
          <w:highlight w:val="none"/>
          <w:u w:val="none"/>
          <w:lang w:val="en-US" w:eastAsia="zh-CN" w:bidi="ar-SA"/>
        </w:rPr>
      </w:pPr>
    </w:p>
    <w:p w14:paraId="7C62BC78">
      <w:pPr>
        <w:pStyle w:val="9"/>
        <w:spacing w:before="0" w:beforeAutospacing="0" w:after="0" w:afterAutospacing="0" w:line="560" w:lineRule="exact"/>
        <w:jc w:val="both"/>
        <w:rPr>
          <w:rFonts w:hint="eastAsia" w:ascii="方正仿宋_GBK" w:hAnsi="方正仿宋_GBK" w:eastAsia="方正仿宋_GBK" w:cs="方正仿宋_GBK"/>
          <w:color w:val="auto"/>
          <w:kern w:val="0"/>
          <w:sz w:val="32"/>
          <w:szCs w:val="32"/>
          <w:highlight w:val="none"/>
          <w:u w:val="none"/>
          <w:lang w:val="en-US" w:eastAsia="zh-CN" w:bidi="ar-SA"/>
        </w:rPr>
      </w:pPr>
    </w:p>
    <w:p w14:paraId="160B9917">
      <w:pPr>
        <w:pStyle w:val="9"/>
        <w:spacing w:before="0" w:beforeAutospacing="0" w:after="0" w:afterAutospacing="0" w:line="560" w:lineRule="exact"/>
        <w:jc w:val="both"/>
        <w:rPr>
          <w:rFonts w:hint="eastAsia" w:ascii="方正仿宋_GBK" w:hAnsi="方正仿宋_GBK" w:eastAsia="方正仿宋_GBK" w:cs="方正仿宋_GBK"/>
          <w:color w:val="auto"/>
          <w:kern w:val="0"/>
          <w:sz w:val="32"/>
          <w:szCs w:val="32"/>
          <w:highlight w:val="none"/>
          <w:u w:val="none"/>
          <w:lang w:val="en-US" w:eastAsia="zh-CN" w:bidi="ar-SA"/>
        </w:rPr>
      </w:pPr>
      <w:r>
        <w:rPr>
          <w:rFonts w:hint="eastAsia" w:ascii="方正仿宋_GBK" w:hAnsi="方正仿宋_GBK" w:eastAsia="方正仿宋_GBK" w:cs="方正仿宋_GBK"/>
          <w:color w:val="auto"/>
          <w:kern w:val="0"/>
          <w:sz w:val="32"/>
          <w:szCs w:val="32"/>
          <w:highlight w:val="none"/>
          <w:u w:val="none"/>
          <w:lang w:val="en-US" w:eastAsia="zh-CN" w:bidi="ar-SA"/>
        </w:rPr>
        <w:t xml:space="preserve">                           单位名称（印章）</w:t>
      </w:r>
    </w:p>
    <w:p w14:paraId="2EFAFC08">
      <w:pPr>
        <w:pStyle w:val="9"/>
        <w:spacing w:before="0" w:beforeAutospacing="0" w:after="0" w:afterAutospacing="0" w:line="560" w:lineRule="exact"/>
        <w:jc w:val="both"/>
        <w:rPr>
          <w:rFonts w:hint="eastAsia" w:ascii="方正仿宋_GBK" w:hAnsi="方正仿宋_GBK" w:eastAsia="方正仿宋_GBK" w:cs="方正仿宋_GBK"/>
          <w:color w:val="auto"/>
          <w:kern w:val="0"/>
          <w:sz w:val="32"/>
          <w:szCs w:val="32"/>
          <w:highlight w:val="none"/>
          <w:u w:val="none"/>
          <w:lang w:val="en-US" w:eastAsia="zh-CN" w:bidi="ar-SA"/>
        </w:rPr>
      </w:pPr>
      <w:r>
        <w:rPr>
          <w:rFonts w:hint="eastAsia" w:ascii="方正仿宋_GBK" w:hAnsi="方正仿宋_GBK" w:eastAsia="方正仿宋_GBK" w:cs="方正仿宋_GBK"/>
          <w:color w:val="auto"/>
          <w:kern w:val="0"/>
          <w:sz w:val="32"/>
          <w:szCs w:val="32"/>
          <w:highlight w:val="none"/>
          <w:u w:val="none"/>
          <w:lang w:val="en-US" w:eastAsia="zh-CN" w:bidi="ar-SA"/>
        </w:rPr>
        <w:t xml:space="preserve">                               年  月  日</w:t>
      </w:r>
    </w:p>
    <w:p w14:paraId="230EAB8A">
      <w:pPr>
        <w:tabs>
          <w:tab w:val="left" w:pos="1015"/>
        </w:tabs>
        <w:bidi w:val="0"/>
        <w:jc w:val="left"/>
        <w:rPr>
          <w:rFonts w:hint="default"/>
          <w:lang w:val="en-US" w:eastAsia="zh-CN"/>
        </w:rPr>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38619A5F">
      <w:pPr>
        <w:pStyle w:val="2"/>
        <w:ind w:left="0" w:leftChars="0" w:firstLine="0" w:firstLineChars="0"/>
      </w:pPr>
    </w:p>
    <w:sectPr>
      <w:pgSz w:w="11906" w:h="16838"/>
      <w:pgMar w:top="2098" w:right="1474" w:bottom="1984"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8"/>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仿宋_GBK">
    <w:altName w:val="微软雅黑"/>
    <w:panose1 w:val="02000000000000000000"/>
    <w:charset w:val="86"/>
    <w:family w:val="auto"/>
    <w:pitch w:val="default"/>
    <w:sig w:usb0="00000001" w:usb1="08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534F82">
    <w:pPr>
      <w:pStyle w:val="3"/>
      <w:pBdr>
        <w:top w:val="none" w:color="000000" w:sz="0" w:space="0"/>
        <w:left w:val="none" w:color="auto" w:sz="0" w:space="0"/>
        <w:bottom w:val="none" w:color="auto" w:sz="0" w:space="0"/>
        <w:right w:val="none" w:color="auto" w:sz="0" w:space="0"/>
        <w:between w:val="none" w:color="auto" w:sz="0" w:space="0"/>
      </w:pBdr>
      <w:spacing w:before="120" w:beforeLines="50" w:after="120" w:afterLines="50"/>
      <w:rPr>
        <w:rFonts w:hint="eastAsia" w:ascii="方正仿宋_GBK" w:hAnsi="方正仿宋_GBK" w:eastAsia="方正仿宋_GBK" w:cs="方正仿宋_GBK"/>
        <w:lang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7F16C61">
                          <w:pPr>
                            <w:pStyle w:val="3"/>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txbxContent>
                    </wps:txbx>
                    <wps:bodyPr vert="horz" wrap="none" lIns="0" tIns="0" rIns="0" bIns="0" anchor="t" anchorCtr="0" upright="0">
                      <a:spAutoFit/>
                    </wps:bodyPr>
                  </wps:wsp>
                </a:graphicData>
              </a:graphic>
            </wp:anchor>
          </w:drawing>
        </mc:Choice>
        <mc:Fallback>
          <w:pict>
            <v:shape id="文本框 2"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EREUCndAQAAvgMAAA4AAAAAAAAA&#10;AQAgAAAAHgEAAGRycy9lMm9Eb2MueG1sUEsFBgAAAAAGAAYAWQEAAG0FAAAAAA==&#10;">
              <v:fill on="f" focussize="0,0"/>
              <v:stroke on="f"/>
              <v:imagedata o:title=""/>
              <o:lock v:ext="edit" aspectratio="f"/>
              <v:textbox inset="0mm,0mm,0mm,0mm" style="mso-fit-shape-to-text:t;">
                <w:txbxContent>
                  <w:p w14:paraId="47F16C61">
                    <w:pPr>
                      <w:pStyle w:val="3"/>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B8457D">
    <w:pPr>
      <w:pStyle w:val="4"/>
      <w:keepNext w:val="0"/>
      <w:keepLines w:val="0"/>
      <w:pageBreakBefore w:val="0"/>
      <w:widowControl w:val="0"/>
      <w:pBdr>
        <w:bottom w:val="none" w:color="auto" w:sz="0" w:space="1"/>
      </w:pBdr>
      <w:tabs>
        <w:tab w:val="left" w:pos="2958"/>
        <w:tab w:val="clear" w:pos="4153"/>
      </w:tabs>
      <w:kinsoku/>
      <w:wordWrap/>
      <w:overflowPunct/>
      <w:topLinePunct w:val="0"/>
      <w:autoSpaceDE/>
      <w:autoSpaceDN/>
      <w:bidi w:val="0"/>
      <w:adjustRightInd/>
      <w:snapToGrid w:val="0"/>
      <w:spacing w:after="0" w:line="360" w:lineRule="auto"/>
      <w:jc w:val="center"/>
      <w:textAlignment w:val="auto"/>
      <w:rPr>
        <w:rFonts w:hint="eastAsia" w:ascii="方正仿宋_GBK" w:hAnsi="方正仿宋_GBK" w:eastAsia="方正仿宋_GBK" w:cs="方正仿宋_GBK"/>
        <w:b w:val="0"/>
        <w:bCs/>
        <w:sz w:val="32"/>
        <w:szCs w:val="32"/>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5CFE87"/>
    <w:multiLevelType w:val="singleLevel"/>
    <w:tmpl w:val="BF5CFE87"/>
    <w:lvl w:ilvl="0" w:tentative="0">
      <w:start w:val="1"/>
      <w:numFmt w:val="decimal"/>
      <w:lvlText w:val="%1."/>
      <w:lvlJc w:val="left"/>
      <w:pPr>
        <w:tabs>
          <w:tab w:val="left" w:pos="312"/>
        </w:tabs>
      </w:pPr>
    </w:lvl>
  </w:abstractNum>
  <w:abstractNum w:abstractNumId="1">
    <w:nsid w:val="57FAB65B"/>
    <w:multiLevelType w:val="singleLevel"/>
    <w:tmpl w:val="57FAB65B"/>
    <w:lvl w:ilvl="0" w:tentative="0">
      <w:start w:val="1"/>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AFF7DEEE"/>
    <w:rsid w:val="04FE39F7"/>
    <w:rsid w:val="07D31DDD"/>
    <w:rsid w:val="0F45018B"/>
    <w:rsid w:val="15235D99"/>
    <w:rsid w:val="1553CE07"/>
    <w:rsid w:val="192C1EF2"/>
    <w:rsid w:val="25CF1DF8"/>
    <w:rsid w:val="25D7CE04"/>
    <w:rsid w:val="2EF822D8"/>
    <w:rsid w:val="32F7FF0C"/>
    <w:rsid w:val="33B10D3C"/>
    <w:rsid w:val="35040F15"/>
    <w:rsid w:val="3705164D"/>
    <w:rsid w:val="37B64B26"/>
    <w:rsid w:val="3AFF6111"/>
    <w:rsid w:val="3EDF01C4"/>
    <w:rsid w:val="3FE94294"/>
    <w:rsid w:val="435C2CDD"/>
    <w:rsid w:val="52FCF78D"/>
    <w:rsid w:val="55681821"/>
    <w:rsid w:val="55FC4B7B"/>
    <w:rsid w:val="56BB63BC"/>
    <w:rsid w:val="5BFF7D9E"/>
    <w:rsid w:val="5C4C3CFA"/>
    <w:rsid w:val="5E7F0F60"/>
    <w:rsid w:val="5EAF6BF2"/>
    <w:rsid w:val="5EBD622A"/>
    <w:rsid w:val="65120EB5"/>
    <w:rsid w:val="65B603E6"/>
    <w:rsid w:val="6CDD1718"/>
    <w:rsid w:val="6D7F926B"/>
    <w:rsid w:val="6E7BC01D"/>
    <w:rsid w:val="6FBDE746"/>
    <w:rsid w:val="733E927F"/>
    <w:rsid w:val="73EF38F4"/>
    <w:rsid w:val="782A3DBC"/>
    <w:rsid w:val="7AAB7407"/>
    <w:rsid w:val="7AFB7EEF"/>
    <w:rsid w:val="7DFAAD44"/>
    <w:rsid w:val="7DFB80D0"/>
    <w:rsid w:val="7F2FB882"/>
    <w:rsid w:val="7F8D9238"/>
    <w:rsid w:val="97DEFA16"/>
    <w:rsid w:val="9D6792CD"/>
    <w:rsid w:val="9DFEF46B"/>
    <w:rsid w:val="9ECF487D"/>
    <w:rsid w:val="9FFBCA51"/>
    <w:rsid w:val="AA0FABDF"/>
    <w:rsid w:val="AFF7DEEE"/>
    <w:rsid w:val="B62F8137"/>
    <w:rsid w:val="B71DF62E"/>
    <w:rsid w:val="BBB224B2"/>
    <w:rsid w:val="BBDFA817"/>
    <w:rsid w:val="BFAE3269"/>
    <w:rsid w:val="C96F87C7"/>
    <w:rsid w:val="CFEDDBF8"/>
    <w:rsid w:val="CFFBC33D"/>
    <w:rsid w:val="D3FDB542"/>
    <w:rsid w:val="D576024E"/>
    <w:rsid w:val="DA35EB65"/>
    <w:rsid w:val="DE5F612D"/>
    <w:rsid w:val="DFF24935"/>
    <w:rsid w:val="DFFB8C17"/>
    <w:rsid w:val="E77C0DA2"/>
    <w:rsid w:val="EAAD667D"/>
    <w:rsid w:val="ED2B47AE"/>
    <w:rsid w:val="EEE6A782"/>
    <w:rsid w:val="EF1AA778"/>
    <w:rsid w:val="EF67A454"/>
    <w:rsid w:val="EFD3908F"/>
    <w:rsid w:val="F3FFDE8C"/>
    <w:rsid w:val="F7CF2A86"/>
    <w:rsid w:val="F7FA3A8E"/>
    <w:rsid w:val="FABF7D2D"/>
    <w:rsid w:val="FDED15CB"/>
    <w:rsid w:val="FDED69CE"/>
    <w:rsid w:val="FEFA554B"/>
    <w:rsid w:val="FF9FFFD7"/>
    <w:rsid w:val="FFCFC55A"/>
    <w:rsid w:val="FFFA8158"/>
    <w:rsid w:val="FFFDA86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Style w:val="6"/>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iPriority w:val="0"/>
    <w:pPr>
      <w:spacing w:before="100" w:beforeAutospacing="1" w:after="100" w:afterAutospacing="1"/>
      <w:ind w:left="0" w:right="0"/>
      <w:jc w:val="left"/>
    </w:pPr>
    <w:rPr>
      <w:kern w:val="0"/>
      <w:sz w:val="24"/>
      <w:lang w:val="en-US" w:eastAsia="zh-CN" w:bidi="ar"/>
    </w:rPr>
  </w:style>
  <w:style w:type="character" w:styleId="8">
    <w:name w:val="Strong"/>
    <w:basedOn w:val="7"/>
    <w:qFormat/>
    <w:uiPriority w:val="0"/>
    <w:rPr>
      <w:b/>
    </w:rPr>
  </w:style>
  <w:style w:type="paragraph" w:customStyle="1" w:styleId="9">
    <w:name w:val="reader-word-layer"/>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9</Pages>
  <Words>3133</Words>
  <Characters>3193</Characters>
  <Lines>0</Lines>
  <Paragraphs>0</Paragraphs>
  <TotalTime>22</TotalTime>
  <ScaleCrop>false</ScaleCrop>
  <LinksUpToDate>false</LinksUpToDate>
  <CharactersWithSpaces>3332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2025-01-27T00:08:00Z</dcterms:created>
  <dc:creator>huawei</dc:creator>
  <cp:lastModifiedBy>HuGuanfa</cp:lastModifiedBy>
  <cp:lastPrinted>2025-05-14T08:02:21Z</cp:lastPrinted>
  <dcterms:modified xsi:type="dcterms:W3CDTF">2025-05-13T09:21:42Z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69256706F68646E398B9AA5ADC104E5D_13</vt:lpwstr>
  </property>
  <property fmtid="{D5CDD505-2E9C-101B-9397-08002B2CF9AE}" pid="4" name="KSOTemplateDocerSaveRecord">
    <vt:lpwstr>eyJoZGlkIjoiNzQxMmQ5NDYzNjEwZWNiNDlhNDM4ZTFhMzRjMDNhZWUiLCJ1c2VySWQiOiIxMzg4MjE5MjUwIn0=</vt:lpwstr>
  </property>
  <property fmtid="{D5CDD505-2E9C-101B-9397-08002B2CF9AE}" pid="5" name="woTemplateTypoMode">
    <vt:lpwstr>web</vt:lpwstr>
  </property>
  <property fmtid="{D5CDD505-2E9C-101B-9397-08002B2CF9AE}" pid="6" name="woTemplate">
    <vt:r8>1</vt:r8>
  </property>
</Properties>
</file>