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40" w:lineRule="atLeast"/>
        <w:ind w:firstLine="600"/>
        <w:rPr>
          <w:rFonts w:hint="eastAsia" w:ascii="仿宋" w:hAnsi="仿宋" w:eastAsia="仿宋" w:cs="仿宋"/>
          <w:color w:val="333333"/>
          <w:kern w:val="0"/>
          <w:sz w:val="30"/>
          <w:szCs w:val="30"/>
          <w:lang w:eastAsia="zh-CN"/>
        </w:rPr>
      </w:pPr>
    </w:p>
    <w:p>
      <w:pPr>
        <w:widowControl/>
        <w:shd w:val="clear" w:color="auto" w:fill="FFFFFF"/>
        <w:spacing w:line="540" w:lineRule="atLeast"/>
        <w:ind w:firstLine="600"/>
        <w:rPr>
          <w:rFonts w:hint="eastAsia" w:ascii="仿宋" w:hAnsi="仿宋" w:eastAsia="仿宋" w:cs="仿宋"/>
          <w:color w:val="333333"/>
          <w:kern w:val="0"/>
          <w:szCs w:val="21"/>
        </w:rPr>
      </w:pPr>
      <w:r>
        <w:rPr>
          <w:rFonts w:hint="eastAsia" w:ascii="仿宋" w:hAnsi="仿宋" w:eastAsia="仿宋" w:cs="仿宋"/>
          <w:color w:val="333333"/>
          <w:kern w:val="0"/>
          <w:sz w:val="30"/>
          <w:szCs w:val="30"/>
        </w:rPr>
        <w:t> </w:t>
      </w:r>
    </w:p>
    <w:p>
      <w:pPr>
        <w:widowControl/>
        <w:shd w:val="clear" w:color="auto" w:fill="FFFFFF"/>
        <w:spacing w:line="540" w:lineRule="atLeast"/>
        <w:ind w:firstLine="600"/>
        <w:rPr>
          <w:rFonts w:hint="eastAsia" w:ascii="仿宋" w:hAnsi="仿宋" w:eastAsia="仿宋" w:cs="仿宋"/>
          <w:color w:val="333333"/>
          <w:kern w:val="0"/>
          <w:szCs w:val="21"/>
        </w:rPr>
      </w:pPr>
      <w:r>
        <w:rPr>
          <w:rFonts w:hint="eastAsia" w:ascii="仿宋" w:hAnsi="仿宋" w:eastAsia="仿宋" w:cs="仿宋"/>
          <w:color w:val="333333"/>
          <w:kern w:val="0"/>
          <w:sz w:val="30"/>
          <w:szCs w:val="30"/>
        </w:rPr>
        <w:t> </w:t>
      </w:r>
    </w:p>
    <w:p>
      <w:pPr>
        <w:widowControl/>
        <w:shd w:val="clear" w:color="auto" w:fill="FFFFFF"/>
        <w:spacing w:line="540" w:lineRule="atLeast"/>
        <w:jc w:val="center"/>
        <w:rPr>
          <w:rFonts w:hint="eastAsia" w:ascii="仿宋" w:hAnsi="仿宋" w:eastAsia="仿宋" w:cs="仿宋"/>
          <w:color w:val="333333"/>
          <w:kern w:val="0"/>
          <w:szCs w:val="21"/>
        </w:rPr>
      </w:pPr>
      <w:r>
        <w:rPr>
          <w:rFonts w:hint="eastAsia" w:ascii="仿宋" w:hAnsi="仿宋" w:eastAsia="仿宋" w:cs="仿宋"/>
          <w:color w:val="333333"/>
          <w:kern w:val="0"/>
          <w:sz w:val="30"/>
          <w:szCs w:val="30"/>
        </w:rPr>
        <w:t> </w:t>
      </w:r>
    </w:p>
    <w:p>
      <w:pPr>
        <w:widowControl/>
        <w:shd w:val="clear" w:color="auto" w:fill="FFFFFF"/>
        <w:spacing w:line="560" w:lineRule="atLeast"/>
        <w:jc w:val="center"/>
        <w:rPr>
          <w:rFonts w:hint="eastAsia" w:ascii="仿宋" w:hAnsi="仿宋" w:eastAsia="仿宋" w:cs="仿宋"/>
          <w:color w:val="333333"/>
          <w:kern w:val="0"/>
          <w:szCs w:val="21"/>
        </w:rPr>
      </w:pPr>
      <w:r>
        <w:rPr>
          <w:rFonts w:hint="eastAsia" w:ascii="仿宋" w:hAnsi="仿宋" w:eastAsia="仿宋" w:cs="仿宋"/>
          <w:color w:val="333333"/>
          <w:kern w:val="0"/>
          <w:sz w:val="32"/>
          <w:szCs w:val="32"/>
        </w:rPr>
        <w:t>赣市府办发〔</w:t>
      </w:r>
      <w:r>
        <w:rPr>
          <w:rFonts w:hint="eastAsia" w:ascii="仿宋" w:hAnsi="仿宋" w:eastAsia="仿宋" w:cs="仿宋"/>
          <w:color w:val="333333"/>
          <w:kern w:val="0"/>
          <w:sz w:val="32"/>
          <w:szCs w:val="32"/>
        </w:rPr>
        <w:t>2021</w:t>
      </w:r>
      <w:r>
        <w:rPr>
          <w:rFonts w:hint="eastAsia" w:ascii="仿宋" w:hAnsi="仿宋" w:eastAsia="仿宋" w:cs="仿宋"/>
          <w:color w:val="333333"/>
          <w:kern w:val="0"/>
          <w:sz w:val="32"/>
          <w:szCs w:val="32"/>
        </w:rPr>
        <w:t>〕</w:t>
      </w:r>
      <w:r>
        <w:rPr>
          <w:rFonts w:hint="eastAsia" w:ascii="仿宋" w:hAnsi="仿宋" w:eastAsia="仿宋" w:cs="仿宋"/>
          <w:color w:val="333333"/>
          <w:kern w:val="0"/>
          <w:sz w:val="32"/>
          <w:szCs w:val="32"/>
        </w:rPr>
        <w:t>16</w:t>
      </w:r>
      <w:r>
        <w:rPr>
          <w:rFonts w:hint="eastAsia" w:ascii="仿宋" w:hAnsi="仿宋" w:eastAsia="仿宋" w:cs="仿宋"/>
          <w:color w:val="333333"/>
          <w:kern w:val="0"/>
          <w:sz w:val="32"/>
          <w:szCs w:val="32"/>
        </w:rPr>
        <w:t>号</w:t>
      </w:r>
    </w:p>
    <w:p>
      <w:pPr>
        <w:widowControl/>
        <w:shd w:val="clear" w:color="auto" w:fill="FFFFFF"/>
        <w:spacing w:line="540" w:lineRule="atLeast"/>
        <w:ind w:firstLine="640"/>
        <w:rPr>
          <w:rFonts w:hint="eastAsia" w:ascii="仿宋" w:hAnsi="仿宋" w:eastAsia="仿宋" w:cs="仿宋"/>
          <w:color w:val="333333"/>
          <w:kern w:val="0"/>
          <w:szCs w:val="21"/>
        </w:rPr>
      </w:pPr>
      <w:r>
        <w:rPr>
          <w:rFonts w:hint="eastAsia" w:ascii="仿宋" w:hAnsi="仿宋" w:eastAsia="仿宋" w:cs="仿宋"/>
          <w:color w:val="333333"/>
          <w:kern w:val="0"/>
          <w:sz w:val="32"/>
          <w:szCs w:val="32"/>
        </w:rPr>
        <w:t> </w:t>
      </w:r>
    </w:p>
    <w:p>
      <w:pPr>
        <w:widowControl/>
        <w:shd w:val="clear" w:color="auto" w:fill="FFFFFF"/>
        <w:spacing w:line="540" w:lineRule="atLeast"/>
        <w:ind w:firstLine="880"/>
        <w:rPr>
          <w:rFonts w:hint="eastAsia" w:ascii="仿宋" w:hAnsi="仿宋" w:eastAsia="仿宋" w:cs="仿宋"/>
          <w:color w:val="333333"/>
          <w:kern w:val="0"/>
          <w:szCs w:val="21"/>
        </w:rPr>
      </w:pPr>
      <w:r>
        <w:rPr>
          <w:rFonts w:hint="eastAsia" w:ascii="仿宋" w:hAnsi="仿宋" w:eastAsia="仿宋" w:cs="仿宋"/>
          <w:color w:val="333333"/>
          <w:kern w:val="0"/>
          <w:sz w:val="44"/>
          <w:szCs w:val="44"/>
        </w:rPr>
        <w:t> </w:t>
      </w:r>
    </w:p>
    <w:p>
      <w:pPr>
        <w:widowControl/>
        <w:shd w:val="clear" w:color="auto" w:fill="FFFFFF"/>
        <w:spacing w:line="500" w:lineRule="atLeast"/>
        <w:jc w:val="center"/>
        <w:rPr>
          <w:rFonts w:hint="eastAsia" w:ascii="仿宋" w:hAnsi="仿宋" w:eastAsia="仿宋" w:cs="仿宋"/>
          <w:color w:val="333333"/>
          <w:kern w:val="0"/>
          <w:szCs w:val="21"/>
        </w:rPr>
      </w:pPr>
      <w:r>
        <w:rPr>
          <w:rFonts w:hint="eastAsia" w:ascii="仿宋" w:hAnsi="仿宋" w:eastAsia="仿宋" w:cs="仿宋"/>
          <w:color w:val="333333"/>
          <w:kern w:val="0"/>
          <w:sz w:val="44"/>
          <w:szCs w:val="44"/>
        </w:rPr>
        <w:t>赣州市人民政府办公室关于</w:t>
      </w:r>
    </w:p>
    <w:p>
      <w:pPr>
        <w:widowControl/>
        <w:shd w:val="clear" w:color="auto" w:fill="FFFFFF"/>
        <w:spacing w:line="500" w:lineRule="atLeast"/>
        <w:jc w:val="center"/>
        <w:rPr>
          <w:rFonts w:hint="eastAsia" w:ascii="仿宋" w:hAnsi="仿宋" w:eastAsia="仿宋" w:cs="仿宋"/>
          <w:color w:val="333333"/>
          <w:kern w:val="0"/>
          <w:szCs w:val="21"/>
        </w:rPr>
      </w:pPr>
      <w:r>
        <w:rPr>
          <w:rFonts w:hint="eastAsia" w:ascii="仿宋" w:hAnsi="仿宋" w:eastAsia="仿宋" w:cs="仿宋"/>
          <w:color w:val="333333"/>
          <w:kern w:val="0"/>
          <w:sz w:val="44"/>
          <w:szCs w:val="44"/>
        </w:rPr>
        <w:t>印发《赣州市社会救助对象认定办法</w:t>
      </w:r>
    </w:p>
    <w:p>
      <w:pPr>
        <w:widowControl/>
        <w:shd w:val="clear" w:color="auto" w:fill="FFFFFF"/>
        <w:spacing w:line="500" w:lineRule="atLeast"/>
        <w:jc w:val="center"/>
        <w:rPr>
          <w:rFonts w:hint="eastAsia" w:ascii="仿宋" w:hAnsi="仿宋" w:eastAsia="仿宋" w:cs="仿宋"/>
          <w:color w:val="333333"/>
          <w:kern w:val="0"/>
          <w:szCs w:val="21"/>
        </w:rPr>
      </w:pPr>
      <w:r>
        <w:rPr>
          <w:rFonts w:hint="eastAsia" w:ascii="仿宋" w:hAnsi="仿宋" w:eastAsia="仿宋" w:cs="仿宋"/>
          <w:color w:val="333333"/>
          <w:kern w:val="0"/>
          <w:sz w:val="44"/>
          <w:szCs w:val="44"/>
        </w:rPr>
        <w:t>（暂行）》的通知</w:t>
      </w:r>
    </w:p>
    <w:p>
      <w:pPr>
        <w:widowControl/>
        <w:shd w:val="clear" w:color="auto" w:fill="FFFFFF"/>
        <w:spacing w:line="400" w:lineRule="atLeast"/>
        <w:rPr>
          <w:rFonts w:hint="eastAsia" w:ascii="仿宋" w:hAnsi="仿宋" w:eastAsia="仿宋" w:cs="仿宋"/>
          <w:color w:val="333333"/>
          <w:kern w:val="0"/>
          <w:szCs w:val="21"/>
        </w:rPr>
      </w:pPr>
      <w:r>
        <w:rPr>
          <w:rFonts w:hint="eastAsia" w:ascii="仿宋" w:hAnsi="仿宋" w:eastAsia="仿宋" w:cs="仿宋"/>
          <w:color w:val="333333"/>
          <w:kern w:val="0"/>
          <w:sz w:val="44"/>
          <w:szCs w:val="44"/>
        </w:rPr>
        <w:t> </w:t>
      </w:r>
    </w:p>
    <w:p>
      <w:pPr>
        <w:widowControl/>
        <w:shd w:val="clear" w:color="auto" w:fill="FFFFFF"/>
        <w:spacing w:line="500" w:lineRule="atLeast"/>
        <w:rPr>
          <w:rFonts w:hint="eastAsia" w:ascii="仿宋" w:hAnsi="仿宋" w:eastAsia="仿宋" w:cs="仿宋"/>
          <w:color w:val="333333"/>
          <w:kern w:val="0"/>
          <w:szCs w:val="21"/>
        </w:rPr>
      </w:pPr>
      <w:r>
        <w:rPr>
          <w:rFonts w:hint="eastAsia" w:ascii="仿宋" w:hAnsi="仿宋" w:eastAsia="仿宋" w:cs="仿宋"/>
          <w:color w:val="333333"/>
          <w:kern w:val="0"/>
          <w:sz w:val="32"/>
          <w:szCs w:val="32"/>
        </w:rPr>
        <w:t>各县（市、区）人民政府，市政府有关部门，市属、驻市有关单位：</w:t>
      </w:r>
    </w:p>
    <w:p>
      <w:pPr>
        <w:widowControl/>
        <w:shd w:val="clear" w:color="auto" w:fill="FFFFFF"/>
        <w:spacing w:line="500" w:lineRule="atLeast"/>
        <w:ind w:firstLine="640"/>
        <w:rPr>
          <w:rFonts w:hint="eastAsia" w:ascii="仿宋" w:hAnsi="仿宋" w:eastAsia="仿宋" w:cs="仿宋"/>
          <w:color w:val="333333"/>
          <w:kern w:val="0"/>
          <w:szCs w:val="21"/>
        </w:rPr>
      </w:pPr>
      <w:r>
        <w:rPr>
          <w:rFonts w:hint="eastAsia" w:ascii="仿宋" w:hAnsi="仿宋" w:eastAsia="仿宋" w:cs="仿宋"/>
          <w:color w:val="333333"/>
          <w:kern w:val="0"/>
          <w:sz w:val="32"/>
          <w:szCs w:val="32"/>
        </w:rPr>
        <w:t>《赣州市社会救助对象认定办法（暂行）》已经</w:t>
      </w:r>
      <w:r>
        <w:rPr>
          <w:rFonts w:hint="eastAsia" w:ascii="仿宋" w:hAnsi="仿宋" w:eastAsia="仿宋" w:cs="仿宋"/>
          <w:color w:val="333333"/>
          <w:kern w:val="0"/>
          <w:sz w:val="32"/>
          <w:szCs w:val="32"/>
        </w:rPr>
        <w:t>2021</w:t>
      </w:r>
      <w:r>
        <w:rPr>
          <w:rFonts w:hint="eastAsia" w:ascii="仿宋" w:hAnsi="仿宋" w:eastAsia="仿宋" w:cs="仿宋"/>
          <w:color w:val="333333"/>
          <w:kern w:val="0"/>
          <w:sz w:val="32"/>
          <w:szCs w:val="32"/>
        </w:rPr>
        <w:t>年</w:t>
      </w:r>
      <w:r>
        <w:rPr>
          <w:rFonts w:hint="eastAsia" w:ascii="仿宋" w:hAnsi="仿宋" w:eastAsia="仿宋" w:cs="仿宋"/>
          <w:color w:val="333333"/>
          <w:kern w:val="0"/>
          <w:sz w:val="32"/>
          <w:szCs w:val="32"/>
        </w:rPr>
        <w:t>11</w:t>
      </w:r>
      <w:r>
        <w:rPr>
          <w:rFonts w:hint="eastAsia" w:ascii="仿宋" w:hAnsi="仿宋" w:eastAsia="仿宋" w:cs="仿宋"/>
          <w:color w:val="333333"/>
          <w:kern w:val="0"/>
          <w:sz w:val="32"/>
          <w:szCs w:val="32"/>
        </w:rPr>
        <w:t>月</w:t>
      </w:r>
      <w:r>
        <w:rPr>
          <w:rFonts w:hint="eastAsia" w:ascii="仿宋" w:hAnsi="仿宋" w:eastAsia="仿宋" w:cs="仿宋"/>
          <w:color w:val="333333"/>
          <w:kern w:val="0"/>
          <w:sz w:val="32"/>
          <w:szCs w:val="32"/>
        </w:rPr>
        <w:t>19</w:t>
      </w:r>
      <w:r>
        <w:rPr>
          <w:rFonts w:hint="eastAsia" w:ascii="仿宋" w:hAnsi="仿宋" w:eastAsia="仿宋" w:cs="仿宋"/>
          <w:color w:val="333333"/>
          <w:kern w:val="0"/>
          <w:sz w:val="32"/>
          <w:szCs w:val="32"/>
        </w:rPr>
        <w:t>日市政府第</w:t>
      </w:r>
      <w:r>
        <w:rPr>
          <w:rFonts w:hint="eastAsia" w:ascii="仿宋" w:hAnsi="仿宋" w:eastAsia="仿宋" w:cs="仿宋"/>
          <w:color w:val="333333"/>
          <w:kern w:val="0"/>
          <w:sz w:val="32"/>
          <w:szCs w:val="32"/>
        </w:rPr>
        <w:t>2</w:t>
      </w:r>
      <w:r>
        <w:rPr>
          <w:rFonts w:hint="eastAsia" w:ascii="仿宋" w:hAnsi="仿宋" w:eastAsia="仿宋" w:cs="仿宋"/>
          <w:color w:val="333333"/>
          <w:kern w:val="0"/>
          <w:sz w:val="32"/>
          <w:szCs w:val="32"/>
        </w:rPr>
        <w:t>次常务会议审议通过，现印发给你们，请遵照执行。</w:t>
      </w:r>
    </w:p>
    <w:p>
      <w:pPr>
        <w:widowControl/>
        <w:shd w:val="clear" w:color="auto" w:fill="FFFFFF"/>
        <w:spacing w:line="480" w:lineRule="atLeast"/>
        <w:rPr>
          <w:rFonts w:hint="eastAsia" w:ascii="仿宋" w:hAnsi="仿宋" w:eastAsia="仿宋" w:cs="仿宋"/>
          <w:color w:val="333333"/>
          <w:kern w:val="0"/>
          <w:szCs w:val="21"/>
        </w:rPr>
      </w:pPr>
      <w:r>
        <w:rPr>
          <w:rFonts w:hint="eastAsia" w:ascii="仿宋" w:hAnsi="仿宋" w:eastAsia="仿宋" w:cs="仿宋"/>
          <w:color w:val="333333"/>
          <w:kern w:val="0"/>
          <w:sz w:val="32"/>
          <w:szCs w:val="32"/>
        </w:rPr>
        <w:t> </w:t>
      </w:r>
    </w:p>
    <w:p>
      <w:pPr>
        <w:widowControl/>
        <w:shd w:val="clear" w:color="auto" w:fill="FFFFFF"/>
        <w:spacing w:line="480" w:lineRule="atLeast"/>
        <w:rPr>
          <w:rFonts w:hint="eastAsia" w:ascii="仿宋" w:hAnsi="仿宋" w:eastAsia="仿宋" w:cs="仿宋"/>
          <w:color w:val="333333"/>
          <w:kern w:val="0"/>
          <w:szCs w:val="21"/>
        </w:rPr>
      </w:pPr>
      <w:r>
        <w:rPr>
          <w:rFonts w:hint="eastAsia" w:ascii="仿宋" w:hAnsi="仿宋" w:eastAsia="仿宋" w:cs="仿宋"/>
          <w:color w:val="333333"/>
          <w:kern w:val="0"/>
          <w:sz w:val="32"/>
          <w:szCs w:val="32"/>
        </w:rPr>
        <w:t> </w:t>
      </w:r>
    </w:p>
    <w:p>
      <w:pPr>
        <w:widowControl/>
        <w:shd w:val="clear" w:color="auto" w:fill="FFFFFF"/>
        <w:spacing w:line="480" w:lineRule="atLeast"/>
        <w:rPr>
          <w:rFonts w:hint="eastAsia" w:ascii="仿宋" w:hAnsi="仿宋" w:eastAsia="仿宋" w:cs="仿宋"/>
          <w:color w:val="333333"/>
          <w:kern w:val="0"/>
          <w:szCs w:val="21"/>
        </w:rPr>
      </w:pPr>
      <w:r>
        <w:rPr>
          <w:rFonts w:hint="eastAsia" w:ascii="仿宋" w:hAnsi="仿宋" w:eastAsia="仿宋" w:cs="仿宋"/>
          <w:color w:val="333333"/>
          <w:kern w:val="0"/>
          <w:sz w:val="32"/>
          <w:szCs w:val="32"/>
        </w:rPr>
        <w:t> </w:t>
      </w:r>
    </w:p>
    <w:p>
      <w:pPr>
        <w:widowControl/>
        <w:shd w:val="clear" w:color="auto" w:fill="FFFFFF"/>
        <w:spacing w:line="480" w:lineRule="atLeast"/>
        <w:rPr>
          <w:rFonts w:hint="eastAsia" w:ascii="仿宋" w:hAnsi="仿宋" w:eastAsia="仿宋" w:cs="仿宋"/>
          <w:color w:val="333333"/>
          <w:kern w:val="0"/>
          <w:szCs w:val="21"/>
        </w:rPr>
      </w:pPr>
      <w:r>
        <w:rPr>
          <w:rFonts w:hint="eastAsia" w:ascii="仿宋" w:hAnsi="仿宋" w:eastAsia="仿宋" w:cs="仿宋"/>
          <w:color w:val="333333"/>
          <w:kern w:val="0"/>
          <w:sz w:val="32"/>
          <w:szCs w:val="32"/>
        </w:rPr>
        <w:t> </w:t>
      </w:r>
    </w:p>
    <w:p>
      <w:pPr>
        <w:widowControl/>
        <w:shd w:val="clear" w:color="auto" w:fill="FFFFFF"/>
        <w:spacing w:line="480" w:lineRule="atLeast"/>
        <w:ind w:left="4485" w:right="1218" w:hanging="3840"/>
        <w:rPr>
          <w:rFonts w:hint="eastAsia" w:ascii="仿宋" w:hAnsi="仿宋" w:eastAsia="仿宋" w:cs="仿宋"/>
          <w:color w:val="333333"/>
          <w:kern w:val="0"/>
          <w:szCs w:val="21"/>
        </w:rPr>
      </w:pPr>
      <w:r>
        <w:rPr>
          <w:rFonts w:hint="eastAsia" w:ascii="仿宋" w:hAnsi="仿宋" w:eastAsia="仿宋" w:cs="仿宋"/>
          <w:color w:val="333333"/>
          <w:kern w:val="0"/>
          <w:sz w:val="32"/>
          <w:szCs w:val="32"/>
        </w:rPr>
        <w:t>                       </w:t>
      </w:r>
      <w:r>
        <w:rPr>
          <w:rFonts w:hint="eastAsia" w:ascii="仿宋" w:hAnsi="仿宋" w:eastAsia="仿宋" w:cs="仿宋"/>
          <w:color w:val="333333"/>
          <w:spacing w:val="40"/>
          <w:kern w:val="0"/>
          <w:sz w:val="32"/>
          <w:szCs w:val="32"/>
        </w:rPr>
        <w:t>2021</w:t>
      </w:r>
      <w:r>
        <w:rPr>
          <w:rFonts w:hint="eastAsia" w:ascii="仿宋" w:hAnsi="仿宋" w:eastAsia="仿宋" w:cs="仿宋"/>
          <w:color w:val="333333"/>
          <w:spacing w:val="40"/>
          <w:kern w:val="0"/>
          <w:sz w:val="32"/>
          <w:szCs w:val="32"/>
        </w:rPr>
        <w:t>年</w:t>
      </w:r>
      <w:r>
        <w:rPr>
          <w:rFonts w:hint="eastAsia" w:ascii="仿宋" w:hAnsi="仿宋" w:eastAsia="仿宋" w:cs="仿宋"/>
          <w:color w:val="333333"/>
          <w:spacing w:val="40"/>
          <w:kern w:val="0"/>
          <w:sz w:val="32"/>
          <w:szCs w:val="32"/>
        </w:rPr>
        <w:t>11</w:t>
      </w:r>
      <w:r>
        <w:rPr>
          <w:rFonts w:hint="eastAsia" w:ascii="仿宋" w:hAnsi="仿宋" w:eastAsia="仿宋" w:cs="仿宋"/>
          <w:color w:val="333333"/>
          <w:spacing w:val="40"/>
          <w:kern w:val="0"/>
          <w:sz w:val="32"/>
          <w:szCs w:val="32"/>
        </w:rPr>
        <w:t>月</w:t>
      </w:r>
      <w:r>
        <w:rPr>
          <w:rFonts w:hint="eastAsia" w:ascii="仿宋" w:hAnsi="仿宋" w:eastAsia="仿宋" w:cs="仿宋"/>
          <w:color w:val="333333"/>
          <w:spacing w:val="40"/>
          <w:kern w:val="0"/>
          <w:sz w:val="32"/>
          <w:szCs w:val="32"/>
        </w:rPr>
        <w:t>25</w:t>
      </w:r>
      <w:r>
        <w:rPr>
          <w:rFonts w:hint="eastAsia" w:ascii="仿宋" w:hAnsi="仿宋" w:eastAsia="仿宋" w:cs="仿宋"/>
          <w:color w:val="333333"/>
          <w:spacing w:val="40"/>
          <w:kern w:val="0"/>
          <w:sz w:val="32"/>
          <w:szCs w:val="32"/>
        </w:rPr>
        <w:t>日</w:t>
      </w:r>
    </w:p>
    <w:p>
      <w:pPr>
        <w:widowControl/>
        <w:shd w:val="clear" w:color="auto" w:fill="FFFFFF"/>
        <w:spacing w:line="400" w:lineRule="atLeast"/>
        <w:ind w:firstLine="640"/>
        <w:rPr>
          <w:rFonts w:hint="eastAsia" w:ascii="仿宋" w:hAnsi="仿宋" w:eastAsia="仿宋" w:cs="仿宋"/>
          <w:color w:val="333333"/>
          <w:kern w:val="0"/>
          <w:szCs w:val="21"/>
        </w:rPr>
      </w:pPr>
      <w:r>
        <w:rPr>
          <w:rFonts w:hint="eastAsia" w:ascii="仿宋" w:hAnsi="仿宋" w:eastAsia="仿宋" w:cs="仿宋"/>
          <w:color w:val="333333"/>
          <w:kern w:val="0"/>
          <w:sz w:val="32"/>
          <w:szCs w:val="32"/>
        </w:rPr>
        <w:t>（此件主动公开）</w:t>
      </w:r>
    </w:p>
    <w:p>
      <w:pPr>
        <w:widowControl/>
        <w:shd w:val="clear" w:color="auto" w:fill="FFFFFF"/>
        <w:spacing w:before="225" w:after="225"/>
        <w:jc w:val="left"/>
        <w:rPr>
          <w:rFonts w:hint="eastAsia" w:ascii="仿宋" w:hAnsi="仿宋" w:eastAsia="仿宋" w:cs="仿宋"/>
          <w:color w:val="333333"/>
          <w:kern w:val="0"/>
          <w:sz w:val="27"/>
          <w:szCs w:val="27"/>
          <w:lang w:eastAsia="zh-CN"/>
        </w:rPr>
      </w:pPr>
    </w:p>
    <w:p>
      <w:pPr>
        <w:widowControl/>
        <w:shd w:val="clear" w:color="auto" w:fill="FFFFFF"/>
        <w:spacing w:before="225" w:after="225"/>
        <w:jc w:val="left"/>
        <w:rPr>
          <w:rFonts w:hint="eastAsia" w:ascii="仿宋" w:hAnsi="仿宋" w:eastAsia="仿宋" w:cs="仿宋"/>
          <w:color w:val="333333"/>
          <w:kern w:val="0"/>
          <w:sz w:val="27"/>
          <w:szCs w:val="27"/>
          <w:lang w:eastAsia="zh-CN"/>
        </w:rPr>
      </w:pPr>
    </w:p>
    <w:p>
      <w:pPr>
        <w:widowControl/>
        <w:shd w:val="clear" w:color="auto" w:fill="FFFFFF"/>
        <w:spacing w:line="520" w:lineRule="atLeast"/>
        <w:jc w:val="center"/>
        <w:rPr>
          <w:rFonts w:hint="eastAsia" w:ascii="仿宋" w:hAnsi="仿宋" w:eastAsia="仿宋" w:cs="仿宋"/>
          <w:color w:val="333333"/>
          <w:kern w:val="0"/>
          <w:szCs w:val="21"/>
        </w:rPr>
      </w:pPr>
      <w:r>
        <w:rPr>
          <w:rFonts w:hint="eastAsia" w:ascii="仿宋" w:hAnsi="仿宋" w:eastAsia="仿宋" w:cs="仿宋"/>
          <w:color w:val="333333"/>
          <w:kern w:val="0"/>
          <w:sz w:val="44"/>
          <w:szCs w:val="44"/>
        </w:rPr>
        <w:t>赣州市社会救助对象认定办法（暂行）</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 </w:t>
      </w:r>
    </w:p>
    <w:p>
      <w:pPr>
        <w:widowControl/>
        <w:shd w:val="clear" w:color="auto" w:fill="FFFFFF"/>
        <w:spacing w:line="520" w:lineRule="atLeast"/>
        <w:jc w:val="center"/>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第一章</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总</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则</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第一条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根据国务院《社会救助暂行办法》（国务院令第</w:t>
      </w:r>
      <w:r>
        <w:rPr>
          <w:rFonts w:hint="eastAsia" w:ascii="仿宋" w:hAnsi="仿宋" w:eastAsia="仿宋" w:cs="仿宋"/>
          <w:color w:val="333333"/>
          <w:kern w:val="0"/>
          <w:sz w:val="32"/>
          <w:szCs w:val="32"/>
        </w:rPr>
        <w:t>649</w:t>
      </w:r>
      <w:r>
        <w:rPr>
          <w:rFonts w:hint="eastAsia" w:ascii="仿宋" w:hAnsi="仿宋" w:eastAsia="仿宋" w:cs="仿宋"/>
          <w:color w:val="333333"/>
          <w:kern w:val="0"/>
          <w:sz w:val="32"/>
          <w:szCs w:val="32"/>
        </w:rPr>
        <w:t>号），中共中央办公厅、国务院办公厅《关于改革完善社会救助制度的意见》（中办发〔</w:t>
      </w:r>
      <w:r>
        <w:rPr>
          <w:rFonts w:hint="eastAsia" w:ascii="仿宋" w:hAnsi="仿宋" w:eastAsia="仿宋" w:cs="仿宋"/>
          <w:color w:val="333333"/>
          <w:kern w:val="0"/>
          <w:sz w:val="32"/>
          <w:szCs w:val="32"/>
        </w:rPr>
        <w:t>2020</w:t>
      </w:r>
      <w:r>
        <w:rPr>
          <w:rFonts w:hint="eastAsia" w:ascii="仿宋" w:hAnsi="仿宋" w:eastAsia="仿宋" w:cs="仿宋"/>
          <w:color w:val="333333"/>
          <w:kern w:val="0"/>
          <w:sz w:val="32"/>
          <w:szCs w:val="32"/>
        </w:rPr>
        <w:t>〕</w:t>
      </w:r>
      <w:r>
        <w:rPr>
          <w:rFonts w:hint="eastAsia" w:ascii="仿宋" w:hAnsi="仿宋" w:eastAsia="仿宋" w:cs="仿宋"/>
          <w:color w:val="333333"/>
          <w:kern w:val="0"/>
          <w:sz w:val="32"/>
          <w:szCs w:val="32"/>
        </w:rPr>
        <w:t>18</w:t>
      </w:r>
      <w:r>
        <w:rPr>
          <w:rFonts w:hint="eastAsia" w:ascii="仿宋" w:hAnsi="仿宋" w:eastAsia="仿宋" w:cs="仿宋"/>
          <w:color w:val="333333"/>
          <w:kern w:val="0"/>
          <w:sz w:val="32"/>
          <w:szCs w:val="32"/>
        </w:rPr>
        <w:t>号），民政部《特困人员认定办法》（民发〔</w:t>
      </w:r>
      <w:r>
        <w:rPr>
          <w:rFonts w:hint="eastAsia" w:ascii="仿宋" w:hAnsi="仿宋" w:eastAsia="仿宋" w:cs="仿宋"/>
          <w:color w:val="333333"/>
          <w:kern w:val="0"/>
          <w:sz w:val="32"/>
          <w:szCs w:val="32"/>
        </w:rPr>
        <w:t>2021</w:t>
      </w:r>
      <w:r>
        <w:rPr>
          <w:rFonts w:hint="eastAsia" w:ascii="仿宋" w:hAnsi="仿宋" w:eastAsia="仿宋" w:cs="仿宋"/>
          <w:color w:val="333333"/>
          <w:kern w:val="0"/>
          <w:sz w:val="32"/>
          <w:szCs w:val="32"/>
        </w:rPr>
        <w:t>〕</w:t>
      </w:r>
      <w:r>
        <w:rPr>
          <w:rFonts w:hint="eastAsia" w:ascii="仿宋" w:hAnsi="仿宋" w:eastAsia="仿宋" w:cs="仿宋"/>
          <w:color w:val="333333"/>
          <w:kern w:val="0"/>
          <w:sz w:val="32"/>
          <w:szCs w:val="32"/>
        </w:rPr>
        <w:t>43</w:t>
      </w:r>
      <w:r>
        <w:rPr>
          <w:rFonts w:hint="eastAsia" w:ascii="仿宋" w:hAnsi="仿宋" w:eastAsia="仿宋" w:cs="仿宋"/>
          <w:color w:val="333333"/>
          <w:kern w:val="0"/>
          <w:sz w:val="32"/>
          <w:szCs w:val="32"/>
        </w:rPr>
        <w:t>号）、《最低生活保障审核确认办法》（民发〔</w:t>
      </w:r>
      <w:r>
        <w:rPr>
          <w:rFonts w:hint="eastAsia" w:ascii="仿宋" w:hAnsi="仿宋" w:eastAsia="仿宋" w:cs="仿宋"/>
          <w:color w:val="333333"/>
          <w:kern w:val="0"/>
          <w:sz w:val="32"/>
          <w:szCs w:val="32"/>
        </w:rPr>
        <w:t>2021</w:t>
      </w:r>
      <w:r>
        <w:rPr>
          <w:rFonts w:hint="eastAsia" w:ascii="仿宋" w:hAnsi="仿宋" w:eastAsia="仿宋" w:cs="仿宋"/>
          <w:color w:val="333333"/>
          <w:kern w:val="0"/>
          <w:sz w:val="32"/>
          <w:szCs w:val="32"/>
        </w:rPr>
        <w:t>〕</w:t>
      </w:r>
      <w:r>
        <w:rPr>
          <w:rFonts w:hint="eastAsia" w:ascii="仿宋" w:hAnsi="仿宋" w:eastAsia="仿宋" w:cs="仿宋"/>
          <w:color w:val="333333"/>
          <w:kern w:val="0"/>
          <w:sz w:val="32"/>
          <w:szCs w:val="32"/>
        </w:rPr>
        <w:t>57</w:t>
      </w:r>
      <w:r>
        <w:rPr>
          <w:rFonts w:hint="eastAsia" w:ascii="仿宋" w:hAnsi="仿宋" w:eastAsia="仿宋" w:cs="仿宋"/>
          <w:color w:val="333333"/>
          <w:kern w:val="0"/>
          <w:sz w:val="32"/>
          <w:szCs w:val="32"/>
        </w:rPr>
        <w:t>号），中共江西省委办公厅、江西省人民政府办公厅《关于改革完善社会救助制度的意见》（赣办发〔</w:t>
      </w:r>
      <w:r>
        <w:rPr>
          <w:rFonts w:hint="eastAsia" w:ascii="仿宋" w:hAnsi="仿宋" w:eastAsia="仿宋" w:cs="仿宋"/>
          <w:color w:val="333333"/>
          <w:kern w:val="0"/>
          <w:sz w:val="32"/>
          <w:szCs w:val="32"/>
        </w:rPr>
        <w:t>2020</w:t>
      </w:r>
      <w:r>
        <w:rPr>
          <w:rFonts w:hint="eastAsia" w:ascii="仿宋" w:hAnsi="仿宋" w:eastAsia="仿宋" w:cs="仿宋"/>
          <w:color w:val="333333"/>
          <w:kern w:val="0"/>
          <w:sz w:val="32"/>
          <w:szCs w:val="32"/>
        </w:rPr>
        <w:t>〕</w:t>
      </w:r>
      <w:r>
        <w:rPr>
          <w:rFonts w:hint="eastAsia" w:ascii="仿宋" w:hAnsi="仿宋" w:eastAsia="仿宋" w:cs="仿宋"/>
          <w:color w:val="333333"/>
          <w:kern w:val="0"/>
          <w:sz w:val="32"/>
          <w:szCs w:val="32"/>
        </w:rPr>
        <w:t>34</w:t>
      </w:r>
      <w:r>
        <w:rPr>
          <w:rFonts w:hint="eastAsia" w:ascii="仿宋" w:hAnsi="仿宋" w:eastAsia="仿宋" w:cs="仿宋"/>
          <w:color w:val="333333"/>
          <w:kern w:val="0"/>
          <w:sz w:val="32"/>
          <w:szCs w:val="32"/>
        </w:rPr>
        <w:t>号），江西省民政厅《江西省最低生活保障操作规程》（赣民发〔</w:t>
      </w:r>
      <w:r>
        <w:rPr>
          <w:rFonts w:hint="eastAsia" w:ascii="仿宋" w:hAnsi="仿宋" w:eastAsia="仿宋" w:cs="仿宋"/>
          <w:color w:val="333333"/>
          <w:kern w:val="0"/>
          <w:sz w:val="32"/>
          <w:szCs w:val="32"/>
        </w:rPr>
        <w:t>2020</w:t>
      </w:r>
      <w:r>
        <w:rPr>
          <w:rFonts w:hint="eastAsia" w:ascii="仿宋" w:hAnsi="仿宋" w:eastAsia="仿宋" w:cs="仿宋"/>
          <w:color w:val="333333"/>
          <w:kern w:val="0"/>
          <w:sz w:val="32"/>
          <w:szCs w:val="32"/>
        </w:rPr>
        <w:t>〕</w:t>
      </w:r>
      <w:r>
        <w:rPr>
          <w:rFonts w:hint="eastAsia" w:ascii="仿宋" w:hAnsi="仿宋" w:eastAsia="仿宋" w:cs="仿宋"/>
          <w:color w:val="333333"/>
          <w:kern w:val="0"/>
          <w:sz w:val="32"/>
          <w:szCs w:val="32"/>
        </w:rPr>
        <w:t>7</w:t>
      </w:r>
      <w:r>
        <w:rPr>
          <w:rFonts w:hint="eastAsia" w:ascii="仿宋" w:hAnsi="仿宋" w:eastAsia="仿宋" w:cs="仿宋"/>
          <w:color w:val="333333"/>
          <w:kern w:val="0"/>
          <w:sz w:val="32"/>
          <w:szCs w:val="32"/>
        </w:rPr>
        <w:t>号）、江西省民政厅等</w:t>
      </w:r>
      <w:r>
        <w:rPr>
          <w:rFonts w:hint="eastAsia" w:ascii="仿宋" w:hAnsi="仿宋" w:eastAsia="仿宋" w:cs="仿宋"/>
          <w:color w:val="333333"/>
          <w:kern w:val="0"/>
          <w:sz w:val="32"/>
          <w:szCs w:val="32"/>
        </w:rPr>
        <w:t>6</w:t>
      </w:r>
      <w:r>
        <w:rPr>
          <w:rFonts w:hint="eastAsia" w:ascii="仿宋" w:hAnsi="仿宋" w:eastAsia="仿宋" w:cs="仿宋"/>
          <w:color w:val="333333"/>
          <w:kern w:val="0"/>
          <w:sz w:val="32"/>
          <w:szCs w:val="32"/>
        </w:rPr>
        <w:t>部门印发的《江西省支出型贫困低收入家庭认定办法》</w:t>
      </w:r>
      <w:r>
        <w:rPr>
          <w:rFonts w:hint="eastAsia" w:ascii="仿宋" w:hAnsi="仿宋" w:eastAsia="仿宋" w:cs="仿宋"/>
          <w:color w:val="333333"/>
          <w:kern w:val="0"/>
          <w:sz w:val="32"/>
          <w:szCs w:val="32"/>
        </w:rPr>
        <w:t>(</w:t>
      </w:r>
      <w:r>
        <w:rPr>
          <w:rFonts w:hint="eastAsia" w:ascii="仿宋" w:hAnsi="仿宋" w:eastAsia="仿宋" w:cs="仿宋"/>
          <w:color w:val="333333"/>
          <w:kern w:val="0"/>
          <w:sz w:val="32"/>
          <w:szCs w:val="32"/>
        </w:rPr>
        <w:t>赣民字〔</w:t>
      </w:r>
      <w:r>
        <w:rPr>
          <w:rFonts w:hint="eastAsia" w:ascii="仿宋" w:hAnsi="仿宋" w:eastAsia="仿宋" w:cs="仿宋"/>
          <w:color w:val="333333"/>
          <w:kern w:val="0"/>
          <w:sz w:val="32"/>
          <w:szCs w:val="32"/>
        </w:rPr>
        <w:t>2020</w:t>
      </w:r>
      <w:r>
        <w:rPr>
          <w:rFonts w:hint="eastAsia" w:ascii="仿宋" w:hAnsi="仿宋" w:eastAsia="仿宋" w:cs="仿宋"/>
          <w:color w:val="333333"/>
          <w:kern w:val="0"/>
          <w:sz w:val="32"/>
          <w:szCs w:val="32"/>
        </w:rPr>
        <w:t>〕</w:t>
      </w:r>
      <w:r>
        <w:rPr>
          <w:rFonts w:hint="eastAsia" w:ascii="仿宋" w:hAnsi="仿宋" w:eastAsia="仿宋" w:cs="仿宋"/>
          <w:color w:val="333333"/>
          <w:kern w:val="0"/>
          <w:sz w:val="32"/>
          <w:szCs w:val="32"/>
        </w:rPr>
        <w:t>3</w:t>
      </w:r>
      <w:r>
        <w:rPr>
          <w:rFonts w:hint="eastAsia" w:ascii="仿宋" w:hAnsi="仿宋" w:eastAsia="仿宋" w:cs="仿宋"/>
          <w:color w:val="333333"/>
          <w:kern w:val="0"/>
          <w:sz w:val="32"/>
          <w:szCs w:val="32"/>
        </w:rPr>
        <w:t>号）以及江西省民政厅《关于印发江西省特困人员认定实施细则的通知》</w:t>
      </w:r>
      <w:r>
        <w:rPr>
          <w:rFonts w:hint="eastAsia" w:ascii="仿宋" w:hAnsi="仿宋" w:eastAsia="仿宋" w:cs="仿宋"/>
          <w:color w:val="333333"/>
          <w:kern w:val="0"/>
          <w:sz w:val="32"/>
          <w:szCs w:val="32"/>
        </w:rPr>
        <w:t>(</w:t>
      </w:r>
      <w:r>
        <w:rPr>
          <w:rFonts w:hint="eastAsia" w:ascii="仿宋" w:hAnsi="仿宋" w:eastAsia="仿宋" w:cs="仿宋"/>
          <w:color w:val="333333"/>
          <w:kern w:val="0"/>
          <w:sz w:val="32"/>
          <w:szCs w:val="32"/>
        </w:rPr>
        <w:t>赣民发〔</w:t>
      </w:r>
      <w:r>
        <w:rPr>
          <w:rFonts w:hint="eastAsia" w:ascii="仿宋" w:hAnsi="仿宋" w:eastAsia="仿宋" w:cs="仿宋"/>
          <w:color w:val="333333"/>
          <w:kern w:val="0"/>
          <w:sz w:val="32"/>
          <w:szCs w:val="32"/>
        </w:rPr>
        <w:t>2021</w:t>
      </w:r>
      <w:r>
        <w:rPr>
          <w:rFonts w:hint="eastAsia" w:ascii="仿宋" w:hAnsi="仿宋" w:eastAsia="仿宋" w:cs="仿宋"/>
          <w:color w:val="333333"/>
          <w:kern w:val="0"/>
          <w:sz w:val="32"/>
          <w:szCs w:val="32"/>
        </w:rPr>
        <w:t>〕</w:t>
      </w:r>
      <w:r>
        <w:rPr>
          <w:rFonts w:hint="eastAsia" w:ascii="仿宋" w:hAnsi="仿宋" w:eastAsia="仿宋" w:cs="仿宋"/>
          <w:color w:val="333333"/>
          <w:kern w:val="0"/>
          <w:sz w:val="32"/>
          <w:szCs w:val="32"/>
        </w:rPr>
        <w:t>7</w:t>
      </w:r>
      <w:r>
        <w:rPr>
          <w:rFonts w:hint="eastAsia" w:ascii="仿宋" w:hAnsi="仿宋" w:eastAsia="仿宋" w:cs="仿宋"/>
          <w:color w:val="333333"/>
          <w:kern w:val="0"/>
          <w:sz w:val="32"/>
          <w:szCs w:val="32"/>
        </w:rPr>
        <w:t>号）等法律、行政法规，结合本市实际，制定本办法。</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第二条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本市根据国家有关法律法规、制度规定和经济社会发展状况，不断完善分层分类、城乡统筹的中国特色社会救助体系，推进社会救助与乡村振兴有效衔接，形成救助合力，逐步提高社会救助水平。</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第三条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本办法坚持党对社会救助工作的全面领导和以人民为中心思想，坚持保基本、兜底线、救急难、可持续总体思路，遵循公开、公平、公正、便民、及时的原则。</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第四条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市民政局负责统筹本市社会救助对象的认定体系建设，建立健全居民家庭经济状况核对和社会救助受理机制。县（市、区）民政部门负责指导、监督乡镇人民政府、街道办事处（下称“乡镇、街道”）开展社会救助对象认定工作。</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市、县民政、教育、住房城乡建设、人力资源社会保障、卫生健康、应急管理、医疗保障、政法系统等社会救助管理部门根据国家、省有关法律和政策法规，同步制定专项救助政策。</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市发展改革、财政、乡村振兴、审计、公安、司法、城管执法等部门按照各自职责，共同做好社会救助对象认定工作。</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各县（市、区）城市社区管委会根据各地党委、政府明确的职能配置、内设机构和人员编制规定，依据本《办法》有关要求，承担乡镇（街道）社会救助对象认定的服务职能。</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第五条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乡镇、街道负责社会救助对象认定的申请受理、调查核实、审核确认、动态管理等工作。</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村民委员会、居民委员会依法协助乡镇、街道做好社会救助对象的认定工作。</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第六条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市、县两级依托省、市社会救助信息化系统建立社会救助资源库，实现社会救助信息互联互通、资源共享，为社会救助对象认定提供支持。</w:t>
      </w:r>
    </w:p>
    <w:p>
      <w:pPr>
        <w:widowControl/>
        <w:shd w:val="clear" w:color="auto" w:fill="FFFFFF"/>
        <w:spacing w:line="520" w:lineRule="atLeast"/>
        <w:ind w:firstLine="612"/>
        <w:rPr>
          <w:rFonts w:hint="eastAsia" w:ascii="仿宋" w:hAnsi="仿宋" w:eastAsia="仿宋" w:cs="仿宋"/>
          <w:color w:val="333333"/>
          <w:kern w:val="0"/>
          <w:szCs w:val="21"/>
        </w:rPr>
      </w:pPr>
      <w:r>
        <w:rPr>
          <w:rFonts w:hint="eastAsia" w:ascii="仿宋" w:hAnsi="仿宋" w:eastAsia="仿宋" w:cs="仿宋"/>
          <w:color w:val="333333"/>
          <w:spacing w:val="-4"/>
          <w:kern w:val="0"/>
          <w:sz w:val="32"/>
          <w:szCs w:val="32"/>
        </w:rPr>
        <w:t>第七条</w:t>
      </w:r>
      <w:r>
        <w:rPr>
          <w:rFonts w:hint="eastAsia" w:ascii="仿宋" w:hAnsi="仿宋" w:eastAsia="仿宋" w:cs="仿宋"/>
          <w:color w:val="333333"/>
          <w:spacing w:val="-4"/>
          <w:kern w:val="0"/>
          <w:sz w:val="32"/>
          <w:szCs w:val="32"/>
        </w:rPr>
        <w:t>  </w:t>
      </w:r>
      <w:r>
        <w:rPr>
          <w:rFonts w:hint="eastAsia" w:ascii="仿宋" w:hAnsi="仿宋" w:eastAsia="仿宋" w:cs="仿宋"/>
          <w:color w:val="333333"/>
          <w:spacing w:val="-4"/>
          <w:kern w:val="0"/>
          <w:sz w:val="32"/>
          <w:szCs w:val="32"/>
        </w:rPr>
        <w:t>各级人民政府、街道办事处及其社会救助管理部门应当通过各种形式，开展社会救助法律、法规、规章和政策的宣传。</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广播电视、报刊、网站、微信公众号等媒体应当加强社会救助公益宣传。</w:t>
      </w:r>
    </w:p>
    <w:p>
      <w:pPr>
        <w:widowControl/>
        <w:shd w:val="clear" w:color="auto" w:fill="FFFFFF"/>
        <w:spacing w:line="520" w:lineRule="atLeast"/>
        <w:jc w:val="center"/>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第二章</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对象类别及认定条件</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第八条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本市的社会救助对象包括下列家庭或者人员：</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（一）最低生活保障家庭；</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（二）特困人员；</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（三）低保边缘家庭；</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（四）支出型困难家庭；</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（五）受灾人员；</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（六）生活无着的流浪乞讨人员；</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（七）临时遇困家庭或者人员；</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（八）需要急救，但身份不明或者无力支付费用的人员；</w:t>
      </w:r>
    </w:p>
    <w:p>
      <w:pPr>
        <w:widowControl/>
        <w:shd w:val="clear" w:color="auto" w:fill="FFFFFF"/>
        <w:spacing w:line="520" w:lineRule="atLeast"/>
        <w:ind w:firstLine="620"/>
        <w:rPr>
          <w:rFonts w:hint="eastAsia" w:ascii="仿宋" w:hAnsi="仿宋" w:eastAsia="仿宋" w:cs="仿宋"/>
          <w:color w:val="333333"/>
          <w:kern w:val="0"/>
          <w:szCs w:val="21"/>
        </w:rPr>
      </w:pPr>
      <w:r>
        <w:rPr>
          <w:rFonts w:hint="eastAsia" w:ascii="仿宋" w:hAnsi="仿宋" w:eastAsia="仿宋" w:cs="仿宋"/>
          <w:color w:val="333333"/>
          <w:spacing w:val="-2"/>
          <w:kern w:val="0"/>
          <w:sz w:val="32"/>
          <w:szCs w:val="32"/>
        </w:rPr>
        <w:t>（九）县级以上人民政府确定的其他特殊困难家庭或者人员。</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第九条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最低生活保障家庭，是指在本市共同生活的家庭成员人均可支配收入低于本市最低生活保障标准，且符合最低生活保障家庭财产标准规定的本市户籍家庭。有条件的县（市、区）可有序推进持有居住证人员在本市居住地申请资格确认。</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第十条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特困人员，是指同时具备以下条件的老年人、残疾人或未成年人，应当依法纳入特困人员救助供养范围：</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（一）无劳动能力；</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（二）无生活来源；</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（三）无法定赡养、抚养、扶养义务人或者其法定义务人无履行义务能力。</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第十一条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低保边缘家庭，是指本地户籍、未纳入最低生活保障、特困供养救助范围，符合下列规定的家庭。</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（一）在本市共同生活的家庭成员人均收入在最低生活保障标准</w:t>
      </w:r>
      <w:r>
        <w:rPr>
          <w:rFonts w:hint="eastAsia" w:ascii="仿宋" w:hAnsi="仿宋" w:eastAsia="仿宋" w:cs="仿宋"/>
          <w:color w:val="333333"/>
          <w:kern w:val="0"/>
          <w:sz w:val="32"/>
          <w:szCs w:val="32"/>
        </w:rPr>
        <w:t>1.5</w:t>
      </w:r>
      <w:r>
        <w:rPr>
          <w:rFonts w:hint="eastAsia" w:ascii="仿宋" w:hAnsi="仿宋" w:eastAsia="仿宋" w:cs="仿宋"/>
          <w:color w:val="333333"/>
          <w:kern w:val="0"/>
          <w:sz w:val="32"/>
          <w:szCs w:val="32"/>
        </w:rPr>
        <w:t>倍以下（有条件的地方可以放宽到</w:t>
      </w:r>
      <w:r>
        <w:rPr>
          <w:rFonts w:hint="eastAsia" w:ascii="仿宋" w:hAnsi="仿宋" w:eastAsia="仿宋" w:cs="仿宋"/>
          <w:color w:val="333333"/>
          <w:kern w:val="0"/>
          <w:sz w:val="32"/>
          <w:szCs w:val="32"/>
        </w:rPr>
        <w:t>2</w:t>
      </w:r>
      <w:r>
        <w:rPr>
          <w:rFonts w:hint="eastAsia" w:ascii="仿宋" w:hAnsi="仿宋" w:eastAsia="仿宋" w:cs="仿宋"/>
          <w:color w:val="333333"/>
          <w:kern w:val="0"/>
          <w:sz w:val="32"/>
          <w:szCs w:val="32"/>
        </w:rPr>
        <w:t>倍）。</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（二）乡村振兴部门（原扶贫部门）认定的脱贫不稳定户、边缘易致贫户、突发困难户。</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（三）家庭成员拥有的全部现金、存款、债券、房产、车辆、生产资料等家庭财产符合本市低保边缘家庭申请专项救助财产标准规定的。</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第十二条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支出型困难家庭，是指本地户籍、未纳入最低生活保障、特困供养或者低保边缘家庭范围，符合下列规定的家庭。</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（一）申请人家庭可支配收入扣减医疗、教育、住房、残疾人康复治疗以及必要的辅助器械配备、失能、半失能护理费用和必要就业成本后，人均月收入在当地居民最低生活保障标准</w:t>
      </w:r>
      <w:r>
        <w:rPr>
          <w:rFonts w:hint="eastAsia" w:ascii="仿宋" w:hAnsi="仿宋" w:eastAsia="仿宋" w:cs="仿宋"/>
          <w:color w:val="333333"/>
          <w:kern w:val="0"/>
          <w:sz w:val="32"/>
          <w:szCs w:val="32"/>
        </w:rPr>
        <w:t>1.5</w:t>
      </w:r>
      <w:r>
        <w:rPr>
          <w:rFonts w:hint="eastAsia" w:ascii="仿宋" w:hAnsi="仿宋" w:eastAsia="仿宋" w:cs="仿宋"/>
          <w:color w:val="333333"/>
          <w:kern w:val="0"/>
          <w:sz w:val="32"/>
          <w:szCs w:val="32"/>
        </w:rPr>
        <w:t>倍以上，低于本市上年度全市居民人均可支配收入；核算日以困难家庭申请之日前</w:t>
      </w:r>
      <w:r>
        <w:rPr>
          <w:rFonts w:hint="eastAsia" w:ascii="仿宋" w:hAnsi="仿宋" w:eastAsia="仿宋" w:cs="仿宋"/>
          <w:color w:val="333333"/>
          <w:kern w:val="0"/>
          <w:sz w:val="32"/>
          <w:szCs w:val="32"/>
        </w:rPr>
        <w:t>12</w:t>
      </w:r>
      <w:r>
        <w:rPr>
          <w:rFonts w:hint="eastAsia" w:ascii="仿宋" w:hAnsi="仿宋" w:eastAsia="仿宋" w:cs="仿宋"/>
          <w:color w:val="333333"/>
          <w:kern w:val="0"/>
          <w:sz w:val="32"/>
          <w:szCs w:val="32"/>
        </w:rPr>
        <w:t>个月为基准。</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（二）家庭财产符合本市支出型困难家庭申请专项救助财产标准规定。</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第十三条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自然灾害受灾人员，是指因本市行政区域内发生自然灾害，导致其基本生活受到严重影响的人员。</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第十四条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生活无着的流浪乞讨人员（以下简称“流浪乞讨人员”），是指离家在外身陷生存困境、自身无力解决食宿、处于流浪、乞讨状态的人员。</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第十五条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临时救助对象，是指具有下列情形之一的家庭或者个人：</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（一）因火灾、交通事故、突发公共事件，家庭成员突发重大疾病等原因，导致基本生活暂时出现严重困难的本市户籍家庭或者家庭成员持有本市居住证的非本市户籍家庭；</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（二）因生活必需支出突然增加超出家庭承受能力，导致基本生活暂时出现严重困难的最低生活保障家庭、特困人员、支出型困难家庭、低保边缘家庭；</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（三）因遭遇火灾、交通事故、突发重大疾病或者其他特殊困难，暂时无法得到家庭支持，导致基本生活陷入困境的个人；</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（四）流浪乞讨人员；</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（五）因公共事件三个月以上无法正常就业，导致基本生活短期陷入困难的家庭。</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县级人民政府根据本行政区的实际情况，规定遭遇其他特殊困难的家庭或者个人为临时救助对象。</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第十六条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需要急救，但身份不明或无力支付费用的人员是指市内发生急危重伤病、需要急救但身份不明确或无力支付相应费用的人员。</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无能力支付患者，主要包括民政部门认定的城乡低保对象、特困人员和由民政等部门确认的流浪乞讨人员，以及县级以上政府认定的其他人员。</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 </w:t>
      </w:r>
    </w:p>
    <w:p>
      <w:pPr>
        <w:widowControl/>
        <w:shd w:val="clear" w:color="auto" w:fill="FFFFFF"/>
        <w:spacing w:line="520" w:lineRule="atLeast"/>
        <w:jc w:val="center"/>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第三章</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对象认定程序</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第十七条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申请最低生活保障、特困人员、低保边缘家庭、支出型困难家庭生活救助、临时救助、医疗救助、住房救助、就业救助的，可以通过网络或者向就近的村居委员会和乡镇、街道社会事务受理服务机构提出申请。</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材料不齐备的，应当一次性告知申请人或者其代理人补齐所有规定材料；可以通过国家或地方政务服务平台查询、部门信息共享获取的相关证明材料，不再要求申请人重复提交。</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申请教育救助的，应当按照国家和本市有关规定，由学生本人或者其监护人向就读学校提出申请。</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第十八条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申请或者已经符合社会救助条件的家庭，应当配合有关单位和机构调查并如实申报家庭人口、收入、财产、支出等状况；与申报状况发生重大变化的，应当及时告知村（居）委会、乡镇（街道）或者相关社会救助管理部门。</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申请或已经符合社会救助对象认定条件的，应当主动向乡镇、街道提供公安部门认定的人脸授权或者书面授权。</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第十九条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申请人户籍所在地的乡镇、街道应当通过入户调查、邻里访问、信函索证、群众评议、居民经济状况核对等方式，对申请人家庭的人口、收入、财产、支出等状况进行调查核实。</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申请人实际居住地和户籍地相分离的，实际居住地的乡镇、街道应当协助做好入户调查、邻里访问、群众评议、公示等工作。</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发生重大突发公共事件时，可以简化认定程序中入户调查、邻里访问和定期复核等环节。</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第二十条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乡镇、街道和相关社会救助管理部门可以委托居民家庭经济状况核对机构，对申请人的家庭经济状况进行核查，并在规定时间内出具核对报告，为审核、认定社会救助对象提供依据。</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第二十一条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居民家庭经济状况核对机构根据委托，依法查询申请对象的户籍登记、婚姻登记、车船登记、就业登记、不动产登记、工商和社会组织登记、税务、社会保险、医疗补充保险、住房公积金、医疗和教育费用支出、银行存款、有价证券、商业保险、基金等信息，调查核实申请人家庭人口、收入、财产、支出等状况。</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民政、财政、公安、市场监管、税务、人力资源社会保障、教育、金融管理、自然资源、住房城乡建设、公积金、医疗保障、卫生健康、退伍军人、农业农村、乡村振兴等部门或者机构，工会、红十字会等有关团体，以及金融机构等单位应当予以配合，及时提供相关信息。</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市、县两级社会救助管理部门可根据信息共享渠道以及其他帮扶措施的综合运用结果，建立完善社会救助资源信息库，健全主动监测、及时预警、救助转介机制，依托省、市社会救助信息化平台，为困难群众应急救助、综合救助以及专项救助提供依据。</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第二十二条 </w:t>
      </w:r>
      <w:r>
        <w:rPr>
          <w:rFonts w:hint="eastAsia" w:ascii="仿宋" w:hAnsi="仿宋" w:eastAsia="仿宋" w:cs="仿宋"/>
          <w:color w:val="333333"/>
          <w:kern w:val="0"/>
          <w:sz w:val="32"/>
          <w:szCs w:val="32"/>
        </w:rPr>
        <w:t> </w:t>
      </w:r>
      <w:r>
        <w:rPr>
          <w:rFonts w:hint="eastAsia" w:ascii="仿宋" w:hAnsi="仿宋" w:eastAsia="仿宋" w:cs="仿宋"/>
          <w:color w:val="333333"/>
          <w:spacing w:val="-4"/>
          <w:kern w:val="0"/>
          <w:sz w:val="32"/>
          <w:szCs w:val="32"/>
        </w:rPr>
        <w:t>社会救助对象认定由申请人户籍所在地的乡镇、街道负责审核确认，确认结果在社会救助成员单位中共享互认。</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第二十三条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救助对象身份认定审核确认时，乡镇、街道应当在规定时限内完成救助对象身份认定的审核确认，并及时通知申请人；不符合条件的，应当说明理由，并书面下达告知书或短消息提醒。</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第二十四条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乡镇、街道应当将符合条件的社会救助对象的基本信息，在其所在地的村（居）务公开栏、电子屏等场所或者相关政府网站、媒体公布。</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第二十五条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省、市建立社会救助对象认定服务平台，为困难群众提供方便快捷的在线申请、办理和查询、投诉等服务。</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第二十六条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社会救助对象认定辅助性工作可以通过政府购买服务方式委托社会力量实施。社会力量参与社会救助对象认定的，应当坚持依法依规、诚实信用，接受政府指导和社会监督。</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 </w:t>
      </w:r>
    </w:p>
    <w:p>
      <w:pPr>
        <w:widowControl/>
        <w:shd w:val="clear" w:color="auto" w:fill="FFFFFF"/>
        <w:spacing w:line="520" w:lineRule="atLeast"/>
        <w:jc w:val="center"/>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第四章</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管理与监督</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第二十七条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最低生活保障、特困人员认定分别按照民政部《最低生活保障审核确认办法》、《特困人员认定办法》和《江西省最低生活保障操作规程》等民政政策法规实施。</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民政、教育、住房城乡建设、人力资源社会保障、卫生健康、应急管理、医疗保障等部门制定的专项救助认定标准，应当结合本市经济社会发展水平、居民生活水平和居民消费价格指数、困难家庭维持基本生活必需的费用等因素确定，并适时进行调整。</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第二十八条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乡镇、街道和相关社会救助管理部门应当依照各自职责，对社会救助对象进行定期核查或不定期抽查。对拒不配合对象认定工作的，社会救助对象户籍所在地乡镇、街道可以终止认定程序，并报县级人民政府社会救助部门备案。</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有下列情形之一的，社会救助对象户籍所在地乡镇、街道应当作出取消其社会救助对象身份资格，停止救助的决定，并在所在村（社区）进行</w:t>
      </w:r>
      <w:r>
        <w:rPr>
          <w:rFonts w:hint="eastAsia" w:ascii="仿宋" w:hAnsi="仿宋" w:eastAsia="仿宋" w:cs="仿宋"/>
          <w:color w:val="333333"/>
          <w:kern w:val="0"/>
          <w:sz w:val="32"/>
          <w:szCs w:val="32"/>
        </w:rPr>
        <w:t>5</w:t>
      </w:r>
      <w:r>
        <w:rPr>
          <w:rFonts w:hint="eastAsia" w:ascii="仿宋" w:hAnsi="仿宋" w:eastAsia="仿宋" w:cs="仿宋"/>
          <w:color w:val="333333"/>
          <w:kern w:val="0"/>
          <w:sz w:val="32"/>
          <w:szCs w:val="32"/>
        </w:rPr>
        <w:t>个工作日公示，公示期满无异议之后正式取消，同时报县级人民政府民政部门备案：</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（一）采取虚报、隐瞒、伪造等手段，骗取救助资金、物资或者服务的；</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（二）不再符合相关社会救助条件的；</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（三）拒绝配合对其家庭人口、收入、财产、支出等状况进行核查的；</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（四）存在与其收入水平不相符的高消费行为且无法说明正当理由的；</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（五）个人在救助期间参与赌博、吸毒等违法活动的；</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（六）最低生活保障家庭中有劳动能力但未就业的成员，无正当理由，连续三次拒绝接受公共就业服务机构介绍的与其健康状况、劳动能力等相适应的工作的。</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第二十九条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已认定为社会救助对象的家庭或者人员，对社会救助管理部门作出的具体行政行为不服的，可以依法申请行政复议或者提起行政诉讼。</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市、县人民政府应当采取措施，加强对社会救助工作人员的职业保护；对在社会救助工作中因公致伤、致残、死亡的，按照国家和本市有关规定，给予工伤和抚恤待遇。</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第三十条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根据国家、省法律法规或地方规章制度，建立完善社会救助对象信用记录制度，纳入市、省和国家信用信息共享平台，依法开展失信惩戒。</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第三十一条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各级经办机构和工作人员对在社会救助对象认定工作中获取的救助对象个人信息，除按照规定应予公示的信息外，应当予以保密。</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通过第三方机构对社会救助对象信息进行采集的，原则上应通过相关部门政务信息系统组织实施，以线上采集为主，并签订保密协议。</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第三十二条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市、县人民政府及其社会救助管理部门应当主动公开社会救助对象认定程序、标准和举报电话，接受社会监督；对接到的投诉、举报，应当及时核实、处理，并将结果告知投诉人、举报人。</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第三十三条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违反本办法规定，有下列情形之一的，由有关单位责令改正；对直接负责的主管人员和其他直接责任人员，依法给予处分：</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（一）对符合认定条件不予受理或审核确认的；</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（二）利用职权非法查询与社会救助申请无关的公民个人信息，或者利用职务之便，向他人出售或者提供公民个人信息的；</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（三）在履行社会救助对象认定过程中，有其他滥用职权、玩忽职守、徇私舞弊行为的。</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对已按规定履行信息核对和调查审核职责或者通过部门协同，因非主观原因出现失误偏差的，对相关人员实行尽职免责。对在救助工作中有突出贡献的基层社会救助工作队伍和人员，按照国家有关规定给予表彰或奖励。</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第三十四条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违反国家、省、市有关规定，出具虚假证明材料的，依照法律、行政法规规定将单位或者个人违法情况纳入信用记录，并予以公示。</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对出具虚假证明材料的单位，县、市社会救助管理部门应当建议相关单位或者其上级主管机关依法依纪对相关责任人予以处理。</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第三十五条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对无理取闹或者以威胁、暴力等方式扰乱社会救助管理部门工作秩序，构成违反治安管理行为的，依法给予治安管理处罚。</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第三十六条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违反本办法规定，构成犯罪的，依法追究刑事责任。</w:t>
      </w:r>
    </w:p>
    <w:p>
      <w:pPr>
        <w:widowControl/>
        <w:shd w:val="clear" w:color="auto" w:fill="FFFFFF"/>
        <w:spacing w:line="520" w:lineRule="atLeast"/>
        <w:ind w:firstLine="408"/>
        <w:rPr>
          <w:rFonts w:hint="eastAsia" w:ascii="仿宋" w:hAnsi="仿宋" w:eastAsia="仿宋" w:cs="仿宋"/>
          <w:color w:val="333333"/>
          <w:kern w:val="0"/>
          <w:szCs w:val="21"/>
        </w:rPr>
      </w:pPr>
      <w:r>
        <w:rPr>
          <w:rFonts w:hint="eastAsia" w:ascii="仿宋" w:hAnsi="仿宋" w:eastAsia="仿宋" w:cs="仿宋"/>
          <w:color w:val="333333"/>
          <w:kern w:val="0"/>
          <w:szCs w:val="21"/>
        </w:rPr>
        <w:t> </w:t>
      </w:r>
    </w:p>
    <w:p>
      <w:pPr>
        <w:widowControl/>
        <w:shd w:val="clear" w:color="auto" w:fill="FFFFFF"/>
        <w:spacing w:line="520" w:lineRule="atLeast"/>
        <w:jc w:val="center"/>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第五章</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附</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则</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第三十七条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本办法所称的在本市共同生活的家庭成员，是指配偶、父母、子女以及儿媳、女婿等其他履行法定权利和义务的近亲属。</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本办法所称的共同生活应当综合考虑共同居所、共同享受家庭权利、共同承担家庭义务、家庭共同财产、相互扶助关爱、共同居住时间等因素认定。</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对事实存在并长期共同生活的过继、寄养、收养人，应当考虑双方的义务履行情况及现实生活状况。</w:t>
      </w:r>
    </w:p>
    <w:p>
      <w:pPr>
        <w:widowControl/>
        <w:shd w:val="clear" w:color="auto" w:fill="FFFFFF"/>
        <w:spacing w:line="520" w:lineRule="atLeast"/>
        <w:ind w:firstLine="628"/>
        <w:jc w:val="left"/>
        <w:rPr>
          <w:rFonts w:hint="eastAsia" w:ascii="仿宋" w:hAnsi="仿宋" w:eastAsia="仿宋" w:cs="仿宋"/>
          <w:color w:val="333333"/>
          <w:kern w:val="0"/>
          <w:szCs w:val="21"/>
        </w:rPr>
      </w:pPr>
      <w:r>
        <w:rPr>
          <w:rFonts w:hint="eastAsia" w:ascii="仿宋" w:hAnsi="仿宋" w:eastAsia="仿宋" w:cs="仿宋"/>
          <w:color w:val="333333"/>
          <w:kern w:val="0"/>
          <w:sz w:val="32"/>
          <w:szCs w:val="32"/>
        </w:rPr>
        <w:t>第三十八条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下列人员不计入共同生活的家庭成员：</w:t>
      </w:r>
    </w:p>
    <w:p>
      <w:pPr>
        <w:widowControl/>
        <w:shd w:val="clear" w:color="auto" w:fill="FFFFFF"/>
        <w:spacing w:line="520" w:lineRule="atLeast"/>
        <w:ind w:firstLine="628"/>
        <w:jc w:val="left"/>
        <w:rPr>
          <w:rFonts w:hint="eastAsia" w:ascii="仿宋" w:hAnsi="仿宋" w:eastAsia="仿宋" w:cs="仿宋"/>
          <w:color w:val="333333"/>
          <w:kern w:val="0"/>
          <w:szCs w:val="21"/>
        </w:rPr>
      </w:pPr>
      <w:r>
        <w:rPr>
          <w:rFonts w:hint="eastAsia" w:ascii="仿宋" w:hAnsi="仿宋" w:eastAsia="仿宋" w:cs="仿宋"/>
          <w:color w:val="333333"/>
          <w:kern w:val="0"/>
          <w:sz w:val="32"/>
          <w:szCs w:val="32"/>
        </w:rPr>
        <w:t>（一）连续三年以上（含三年）脱离家庭独立生活的宗教教职人员；</w:t>
      </w:r>
    </w:p>
    <w:p>
      <w:pPr>
        <w:widowControl/>
        <w:shd w:val="clear" w:color="auto" w:fill="FFFFFF"/>
        <w:spacing w:line="520" w:lineRule="atLeast"/>
        <w:ind w:firstLine="628"/>
        <w:jc w:val="left"/>
        <w:rPr>
          <w:rFonts w:hint="eastAsia" w:ascii="仿宋" w:hAnsi="仿宋" w:eastAsia="仿宋" w:cs="仿宋"/>
          <w:color w:val="333333"/>
          <w:kern w:val="0"/>
          <w:szCs w:val="21"/>
        </w:rPr>
      </w:pPr>
      <w:r>
        <w:rPr>
          <w:rFonts w:hint="eastAsia" w:ascii="仿宋" w:hAnsi="仿宋" w:eastAsia="仿宋" w:cs="仿宋"/>
          <w:color w:val="333333"/>
          <w:kern w:val="0"/>
          <w:sz w:val="32"/>
          <w:szCs w:val="32"/>
        </w:rPr>
        <w:t>（二）在监所内在押或服刑、在戒毒所强行戒毒人员和人民法院宣告失踪人员，司法行政部门认定的社区矫正人员除外；</w:t>
      </w:r>
    </w:p>
    <w:p>
      <w:pPr>
        <w:widowControl/>
        <w:shd w:val="clear" w:color="auto" w:fill="FFFFFF"/>
        <w:spacing w:before="225" w:after="225" w:line="520" w:lineRule="atLeast"/>
        <w:ind w:firstLine="628"/>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（三）未经人民法院宣告失踪，但能够提供登报寻人启事、公安部门出具的立案通知书或者两名以上不具有近亲属关系的村民、居民签字证明等材料，证明连续二年及以上下落不明、与家庭失去联系的人员；</w:t>
      </w:r>
    </w:p>
    <w:p>
      <w:pPr>
        <w:widowControl/>
        <w:shd w:val="clear" w:color="auto" w:fill="FFFFFF"/>
        <w:spacing w:line="520" w:lineRule="atLeast"/>
        <w:ind w:firstLine="628"/>
        <w:jc w:val="left"/>
        <w:rPr>
          <w:rFonts w:hint="eastAsia" w:ascii="仿宋" w:hAnsi="仿宋" w:eastAsia="仿宋" w:cs="仿宋"/>
          <w:color w:val="333333"/>
          <w:kern w:val="0"/>
          <w:szCs w:val="21"/>
        </w:rPr>
      </w:pPr>
      <w:r>
        <w:rPr>
          <w:rFonts w:hint="eastAsia" w:ascii="仿宋" w:hAnsi="仿宋" w:eastAsia="仿宋" w:cs="仿宋"/>
          <w:color w:val="333333"/>
          <w:kern w:val="0"/>
          <w:sz w:val="32"/>
          <w:szCs w:val="32"/>
        </w:rPr>
        <w:t>（四）县级人民政府民政部门根据有关原则和程序认定的其他人员。</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第三十九条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对在部队服现役的军官、士官和文职人员，应视为法定义务共同生活家庭成员，可以不授权核对，但应当按照相关薪金待遇计算赡养、抚养或扶养费用；在部队服现役的义务兵，不计入共同生活家庭成员和人均可支配收入。</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第四十条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符合下列情形之一的，应当认定为本办法所称的无劳动能力：</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（一）</w:t>
      </w:r>
      <w:r>
        <w:rPr>
          <w:rFonts w:hint="eastAsia" w:ascii="仿宋" w:hAnsi="仿宋" w:eastAsia="仿宋" w:cs="仿宋"/>
          <w:color w:val="333333"/>
          <w:kern w:val="0"/>
          <w:sz w:val="32"/>
          <w:szCs w:val="32"/>
        </w:rPr>
        <w:t>60</w:t>
      </w:r>
      <w:r>
        <w:rPr>
          <w:rFonts w:hint="eastAsia" w:ascii="仿宋" w:hAnsi="仿宋" w:eastAsia="仿宋" w:cs="仿宋"/>
          <w:color w:val="333333"/>
          <w:kern w:val="0"/>
          <w:sz w:val="32"/>
          <w:szCs w:val="32"/>
        </w:rPr>
        <w:t>周岁以上的老年人；</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（二）未满</w:t>
      </w:r>
      <w:r>
        <w:rPr>
          <w:rFonts w:hint="eastAsia" w:ascii="仿宋" w:hAnsi="仿宋" w:eastAsia="仿宋" w:cs="仿宋"/>
          <w:color w:val="333333"/>
          <w:kern w:val="0"/>
          <w:sz w:val="32"/>
          <w:szCs w:val="32"/>
        </w:rPr>
        <w:t>16</w:t>
      </w:r>
      <w:r>
        <w:rPr>
          <w:rFonts w:hint="eastAsia" w:ascii="仿宋" w:hAnsi="仿宋" w:eastAsia="仿宋" w:cs="仿宋"/>
          <w:color w:val="333333"/>
          <w:kern w:val="0"/>
          <w:sz w:val="32"/>
          <w:szCs w:val="32"/>
        </w:rPr>
        <w:t>周岁的未成年人；</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（三）残疾等级为一、二、三级的智力、精神残疾人，残疾等级为一、二级的肢体残疾人，残疾等级为一级的视力残疾人；</w:t>
      </w:r>
    </w:p>
    <w:p>
      <w:pPr>
        <w:widowControl/>
        <w:shd w:val="clear" w:color="auto" w:fill="FFFFFF"/>
        <w:spacing w:line="520" w:lineRule="atLeast"/>
        <w:ind w:firstLine="640"/>
        <w:rPr>
          <w:rFonts w:hint="eastAsia" w:ascii="仿宋" w:hAnsi="仿宋" w:eastAsia="仿宋" w:cs="仿宋"/>
          <w:color w:val="333333"/>
          <w:kern w:val="0"/>
          <w:szCs w:val="21"/>
        </w:rPr>
      </w:pPr>
      <w:r>
        <w:rPr>
          <w:rFonts w:hint="eastAsia" w:ascii="仿宋" w:hAnsi="仿宋" w:eastAsia="仿宋" w:cs="仿宋"/>
          <w:color w:val="333333"/>
          <w:kern w:val="0"/>
          <w:sz w:val="32"/>
          <w:szCs w:val="32"/>
        </w:rPr>
        <w:t>（四）因患重大疾病导致完全丧失劳动能力的人员；</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（五）县级以上人民政府规定的其他情形。</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第四十一条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法定义务人符合下列情形之一的，应当认定为本办法所称的无履行义务能力：</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（一）特困人员；</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（二）</w:t>
      </w:r>
      <w:r>
        <w:rPr>
          <w:rFonts w:hint="eastAsia" w:ascii="仿宋" w:hAnsi="仿宋" w:eastAsia="仿宋" w:cs="仿宋"/>
          <w:color w:val="333333"/>
          <w:kern w:val="0"/>
          <w:sz w:val="32"/>
          <w:szCs w:val="32"/>
        </w:rPr>
        <w:t>60</w:t>
      </w:r>
      <w:r>
        <w:rPr>
          <w:rFonts w:hint="eastAsia" w:ascii="仿宋" w:hAnsi="仿宋" w:eastAsia="仿宋" w:cs="仿宋"/>
          <w:color w:val="333333"/>
          <w:kern w:val="0"/>
          <w:sz w:val="32"/>
          <w:szCs w:val="32"/>
        </w:rPr>
        <w:t>周岁以上的最低生活保障对象；</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（三）</w:t>
      </w:r>
      <w:r>
        <w:rPr>
          <w:rFonts w:hint="eastAsia" w:ascii="仿宋" w:hAnsi="仿宋" w:eastAsia="仿宋" w:cs="仿宋"/>
          <w:color w:val="333333"/>
          <w:kern w:val="0"/>
          <w:sz w:val="32"/>
          <w:szCs w:val="32"/>
        </w:rPr>
        <w:t>70</w:t>
      </w:r>
      <w:r>
        <w:rPr>
          <w:rFonts w:hint="eastAsia" w:ascii="仿宋" w:hAnsi="仿宋" w:eastAsia="仿宋" w:cs="仿宋"/>
          <w:color w:val="333333"/>
          <w:kern w:val="0"/>
          <w:sz w:val="32"/>
          <w:szCs w:val="32"/>
        </w:rPr>
        <w:t>周岁以上的老年人，本人收入低于当地上年人均可支配收入，且其财产符合当地低保边缘家庭财产状况规定的；</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（四）重度残疾人（一级、二级）和残疾等级为三级的智力、精神残疾人，本人收入低于当地上年人均可支配收入，且其财产符合当地低保边缘家庭财产状况规定的；</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（五）因患重大疾病导致完全丧失劳动能力，本人收入低于当地上年人均可支配收入，且其财产状况符合低保边缘家庭财产状况规定的；</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（六）无民事行为能力、被宣告失踪或者在监狱服刑的人员，且其财产符合当地低保边缘家庭财产状况规定的；</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（七）县级以上人民政府规定的其他情形。</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同时符合特困人员救助供养条件和孤儿、事实无人抚养儿童认定条件的未成年人，选择申请纳入孤儿、事实无人抚养儿童基本生活保障范围的，不再认定为特困人员。纳入特困人员救助供养范围的，不再纳入最低生活保障范围。</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特困人员中的未成年人，可继续享有救助供养待遇至</w:t>
      </w:r>
      <w:r>
        <w:rPr>
          <w:rFonts w:hint="eastAsia" w:ascii="仿宋" w:hAnsi="仿宋" w:eastAsia="仿宋" w:cs="仿宋"/>
          <w:color w:val="333333"/>
          <w:kern w:val="0"/>
          <w:sz w:val="32"/>
          <w:szCs w:val="32"/>
        </w:rPr>
        <w:t>18</w:t>
      </w:r>
      <w:r>
        <w:rPr>
          <w:rFonts w:hint="eastAsia" w:ascii="仿宋" w:hAnsi="仿宋" w:eastAsia="仿宋" w:cs="仿宋"/>
          <w:color w:val="333333"/>
          <w:kern w:val="0"/>
          <w:sz w:val="32"/>
          <w:szCs w:val="32"/>
        </w:rPr>
        <w:t>周岁，满</w:t>
      </w:r>
      <w:r>
        <w:rPr>
          <w:rFonts w:hint="eastAsia" w:ascii="仿宋" w:hAnsi="仿宋" w:eastAsia="仿宋" w:cs="仿宋"/>
          <w:color w:val="333333"/>
          <w:kern w:val="0"/>
          <w:sz w:val="32"/>
          <w:szCs w:val="32"/>
        </w:rPr>
        <w:t>18</w:t>
      </w:r>
      <w:r>
        <w:rPr>
          <w:rFonts w:hint="eastAsia" w:ascii="仿宋" w:hAnsi="仿宋" w:eastAsia="仿宋" w:cs="仿宋"/>
          <w:color w:val="333333"/>
          <w:kern w:val="0"/>
          <w:sz w:val="32"/>
          <w:szCs w:val="32"/>
        </w:rPr>
        <w:t>周岁后仍在接受义务教育或者在普通高中、中等职业学校就读的，应当继续给予救助供养。</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第四十二条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家庭收入主要包括：</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（一）工资性收入。包括因任职或受雇而取得的工资、薪金、奖金和劳动分红、津贴、补贴、离退休金、失业保险金等，还包括因任职或受雇有关的其他所得。</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（二）家庭经营纯收入。包括从事种植业、养殖业、捕捞业等农副业生产的劳动收入，从事手工业、餐饮业、批发和零售业、建筑业、交通运输业等的收入，从事土地承包、承租经营以及转包、转租经营收入。</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（三）财产性收入。包括利息、股息、红利和保险投资等收入，出租出让固定资产和无形资产、特许权等收入。</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四）转移性收入。包括赡养费、抚养费、扶养费，继承性所得、赠与性所得、偶然性所得，村（组）集体经济分配收益、粮补、退耕还林补贴等，精简退职职工定期救济和遗属生活补助、一次性安置费、经济补偿款、生活补偿（助）费等。</w:t>
      </w:r>
    </w:p>
    <w:p>
      <w:pPr>
        <w:widowControl/>
        <w:shd w:val="clear" w:color="auto" w:fill="FFFFFF"/>
        <w:spacing w:before="225" w:after="225" w:line="520" w:lineRule="atLeast"/>
        <w:ind w:firstLine="642"/>
        <w:jc w:val="left"/>
        <w:rPr>
          <w:rFonts w:hint="eastAsia" w:ascii="仿宋" w:hAnsi="仿宋" w:eastAsia="仿宋" w:cs="仿宋"/>
          <w:color w:val="333333"/>
          <w:kern w:val="0"/>
          <w:sz w:val="27"/>
          <w:szCs w:val="27"/>
        </w:rPr>
      </w:pPr>
      <w:r>
        <w:rPr>
          <w:rFonts w:hint="eastAsia" w:ascii="仿宋" w:hAnsi="仿宋" w:eastAsia="仿宋" w:cs="仿宋"/>
          <w:color w:val="333333"/>
          <w:spacing w:val="4"/>
          <w:kern w:val="0"/>
          <w:sz w:val="32"/>
          <w:szCs w:val="32"/>
        </w:rPr>
        <w:t>（五）县级以上人民政府规定应计入家庭成员收入的其他项目。</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第四十三条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家庭财产主要包括：</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（一）金融性资产。包括现金、存款以及有价证券等；</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（二）不动产。是指土地、房屋、林木等定着物；</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（三）生产资料。包括机动车辆、船舶和大型农机具（收割机、拖拉机、机动脱粒机等）；</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（四）非生活必需的高价值物品；</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（五）债权和其他财产。</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第四十四条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共同生活的家庭成员的收入符合下列情形之一的，可不计入家庭可支配收入，审核确认时视情予以豁免：</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（一）国家给予优抚对象和其他人员的特殊照顾待遇。包括优抚对象享受的抚恤金、补助金、优待金，贫困残疾人的生活补助和重度残疾人的护理补贴，高龄老人津贴，中华人民共和国成立前</w:t>
      </w:r>
      <w:bookmarkStart w:id="0" w:name="_GoBack"/>
      <w:bookmarkEnd w:id="0"/>
      <w:r>
        <w:rPr>
          <w:rFonts w:hint="eastAsia" w:ascii="仿宋" w:hAnsi="仿宋" w:eastAsia="仿宋" w:cs="仿宋"/>
          <w:color w:val="333333"/>
          <w:kern w:val="0"/>
          <w:sz w:val="32"/>
          <w:szCs w:val="32"/>
        </w:rPr>
        <w:t>入党的农村老党员和未享受离退休待遇的城镇老党员、老游击队员、老交通员的定期补助等；</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（二）国家、社会及有关单位颁发的非报酬性奖励。包括劳动模范荣誉津贴、奖学金、见义勇为奖金、独生子女费、计划生育奖励与扶助金等；</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（三）国家、社会及有关单位给予工伤人员的有特定用途的补助资金。包括工伤人员的医疗费、护理费、一次性伤残补助金、抚恤金、残疾辅助器具费、丧葬费；</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（四）国家、社会及有关单位给予困难群体的社会救助资金。包括住房、医疗、教育、司法、养老、康复、托养、临时性救助等救助金；</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（五）“十四五”期间，中央确定的城乡居民基本养老保险基础养老金暂不计入家庭收入。家庭成员必需的就业成本和因残疾、患重病等增加的必需刚性支出。</w:t>
      </w:r>
    </w:p>
    <w:p>
      <w:pPr>
        <w:widowControl/>
        <w:shd w:val="clear" w:color="auto" w:fill="FFFFFF"/>
        <w:spacing w:before="225" w:after="225" w:line="520" w:lineRule="atLeast"/>
        <w:ind w:firstLine="626"/>
        <w:jc w:val="left"/>
        <w:rPr>
          <w:rFonts w:hint="eastAsia" w:ascii="仿宋" w:hAnsi="仿宋" w:eastAsia="仿宋" w:cs="仿宋"/>
          <w:color w:val="333333"/>
          <w:kern w:val="0"/>
          <w:sz w:val="27"/>
          <w:szCs w:val="27"/>
        </w:rPr>
      </w:pPr>
      <w:r>
        <w:rPr>
          <w:rFonts w:hint="eastAsia" w:ascii="仿宋" w:hAnsi="仿宋" w:eastAsia="仿宋" w:cs="仿宋"/>
          <w:color w:val="333333"/>
          <w:kern w:val="0"/>
          <w:sz w:val="32"/>
          <w:szCs w:val="32"/>
        </w:rPr>
        <w:t>（六）县级以上人民政府规定不计入的其他收入。</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第四十五条 </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共同生活的家庭成员的财产状况符合下列情形之一的，经调查核实，可以视为维持家庭生产生活的必需财产，审核确认时视情予以豁免：</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（一）拥有作为唯一谋生工具的小型经营性车辆；</w:t>
      </w:r>
    </w:p>
    <w:p>
      <w:pPr>
        <w:widowControl/>
        <w:shd w:val="clear" w:color="auto" w:fill="FFFFFF"/>
        <w:spacing w:line="520" w:lineRule="atLeast"/>
        <w:ind w:firstLine="612"/>
        <w:rPr>
          <w:rFonts w:hint="eastAsia" w:ascii="仿宋" w:hAnsi="仿宋" w:eastAsia="仿宋" w:cs="仿宋"/>
          <w:color w:val="333333"/>
          <w:kern w:val="0"/>
          <w:szCs w:val="21"/>
        </w:rPr>
      </w:pPr>
      <w:r>
        <w:rPr>
          <w:rFonts w:hint="eastAsia" w:ascii="仿宋" w:hAnsi="仿宋" w:eastAsia="仿宋" w:cs="仿宋"/>
          <w:color w:val="333333"/>
          <w:spacing w:val="-4"/>
          <w:kern w:val="0"/>
          <w:sz w:val="32"/>
          <w:szCs w:val="32"/>
        </w:rPr>
        <w:t>（二）无住房，但有唯一一处商铺、厂房、酒店式公寓等非居住用途不动产，并将该非居住用途不动产作为家庭唯一居住场所，且家庭人均建筑面积低于户籍所在地上年度居民人均建筑面积；</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（三）有大额存款且累计持有时间未超过</w:t>
      </w:r>
      <w:r>
        <w:rPr>
          <w:rFonts w:hint="eastAsia" w:ascii="仿宋" w:hAnsi="仿宋" w:eastAsia="仿宋" w:cs="仿宋"/>
          <w:color w:val="333333"/>
          <w:kern w:val="0"/>
          <w:sz w:val="32"/>
          <w:szCs w:val="32"/>
        </w:rPr>
        <w:t>12</w:t>
      </w:r>
      <w:r>
        <w:rPr>
          <w:rFonts w:hint="eastAsia" w:ascii="仿宋" w:hAnsi="仿宋" w:eastAsia="仿宋" w:cs="仿宋"/>
          <w:color w:val="333333"/>
          <w:kern w:val="0"/>
          <w:sz w:val="32"/>
          <w:szCs w:val="32"/>
        </w:rPr>
        <w:t>个月，能够提供自申请或者动态管理之日起前</w:t>
      </w:r>
      <w:r>
        <w:rPr>
          <w:rFonts w:hint="eastAsia" w:ascii="仿宋" w:hAnsi="仿宋" w:eastAsia="仿宋" w:cs="仿宋"/>
          <w:color w:val="333333"/>
          <w:kern w:val="0"/>
          <w:sz w:val="32"/>
          <w:szCs w:val="32"/>
        </w:rPr>
        <w:t>12</w:t>
      </w:r>
      <w:r>
        <w:rPr>
          <w:rFonts w:hint="eastAsia" w:ascii="仿宋" w:hAnsi="仿宋" w:eastAsia="仿宋" w:cs="仿宋"/>
          <w:color w:val="333333"/>
          <w:kern w:val="0"/>
          <w:sz w:val="32"/>
          <w:szCs w:val="32"/>
        </w:rPr>
        <w:t>个月内三级乙等及以上级别医院开具的医学诊断证明书、治疗方案等医学证明材料，确认存款用于治疗重大疾病的，可以按照该病种平均医疗费用酌情予以豁免；</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（四）有工商登记，但投资经营规模较小且无雇员，或者属于乡村振兴部门认定的帮扶对象统一参加当地合作社、集体所有制企业等经济组织；</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（五）县级以上人民政府民政部门规定的其他情形。</w:t>
      </w:r>
    </w:p>
    <w:p>
      <w:pPr>
        <w:widowControl/>
        <w:shd w:val="clear" w:color="auto" w:fill="FFFFFF"/>
        <w:spacing w:line="520" w:lineRule="atLeast"/>
        <w:ind w:firstLine="628"/>
        <w:jc w:val="left"/>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第四十六条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各县（市、区）人民政府民政部门可以根据本办法，结合本地实际，制定实施细则，并报市民政局备案。</w:t>
      </w:r>
    </w:p>
    <w:p>
      <w:pPr>
        <w:widowControl/>
        <w:shd w:val="clear" w:color="auto" w:fill="FFFFFF"/>
        <w:spacing w:line="520" w:lineRule="atLeast"/>
        <w:ind w:firstLine="628"/>
        <w:jc w:val="left"/>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第四十七条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本办法由市民政局会同有关部门负责解释。</w:t>
      </w:r>
    </w:p>
    <w:p>
      <w:pPr>
        <w:widowControl/>
        <w:shd w:val="clear" w:color="auto" w:fill="FFFFFF"/>
        <w:spacing w:line="520" w:lineRule="atLeast"/>
        <w:ind w:firstLine="628"/>
        <w:rPr>
          <w:rFonts w:hint="eastAsia" w:ascii="仿宋" w:hAnsi="仿宋" w:eastAsia="仿宋" w:cs="仿宋"/>
          <w:color w:val="333333"/>
          <w:kern w:val="0"/>
          <w:szCs w:val="21"/>
        </w:rPr>
      </w:pPr>
      <w:r>
        <w:rPr>
          <w:rFonts w:hint="eastAsia" w:ascii="仿宋" w:hAnsi="仿宋" w:eastAsia="仿宋" w:cs="仿宋"/>
          <w:color w:val="333333"/>
          <w:kern w:val="0"/>
          <w:sz w:val="32"/>
          <w:szCs w:val="32"/>
        </w:rPr>
        <w:t>第四十八条</w:t>
      </w:r>
      <w:r>
        <w:rPr>
          <w:rFonts w:hint="eastAsia" w:ascii="仿宋" w:hAnsi="仿宋" w:eastAsia="仿宋" w:cs="仿宋"/>
          <w:color w:val="333333"/>
          <w:kern w:val="0"/>
          <w:sz w:val="32"/>
          <w:szCs w:val="32"/>
        </w:rPr>
        <w:t>  </w:t>
      </w:r>
      <w:r>
        <w:rPr>
          <w:rFonts w:hint="eastAsia" w:ascii="仿宋" w:hAnsi="仿宋" w:eastAsia="仿宋" w:cs="仿宋"/>
          <w:color w:val="333333"/>
          <w:kern w:val="0"/>
          <w:sz w:val="32"/>
          <w:szCs w:val="32"/>
        </w:rPr>
        <w:t>本办法自</w:t>
      </w:r>
      <w:r>
        <w:rPr>
          <w:rFonts w:hint="eastAsia" w:ascii="仿宋" w:hAnsi="仿宋" w:eastAsia="仿宋" w:cs="仿宋"/>
          <w:color w:val="333333"/>
          <w:kern w:val="0"/>
          <w:sz w:val="32"/>
          <w:szCs w:val="32"/>
        </w:rPr>
        <w:t>2022</w:t>
      </w:r>
      <w:r>
        <w:rPr>
          <w:rFonts w:hint="eastAsia" w:ascii="仿宋" w:hAnsi="仿宋" w:eastAsia="仿宋" w:cs="仿宋"/>
          <w:color w:val="333333"/>
          <w:kern w:val="0"/>
          <w:sz w:val="32"/>
          <w:szCs w:val="32"/>
        </w:rPr>
        <w:t>年</w:t>
      </w:r>
      <w:r>
        <w:rPr>
          <w:rFonts w:hint="eastAsia" w:ascii="仿宋" w:hAnsi="仿宋" w:eastAsia="仿宋" w:cs="仿宋"/>
          <w:color w:val="333333"/>
          <w:kern w:val="0"/>
          <w:sz w:val="32"/>
          <w:szCs w:val="32"/>
        </w:rPr>
        <w:t>1</w:t>
      </w:r>
      <w:r>
        <w:rPr>
          <w:rFonts w:hint="eastAsia" w:ascii="仿宋" w:hAnsi="仿宋" w:eastAsia="仿宋" w:cs="仿宋"/>
          <w:color w:val="333333"/>
          <w:kern w:val="0"/>
          <w:sz w:val="32"/>
          <w:szCs w:val="32"/>
        </w:rPr>
        <w:t>月</w:t>
      </w:r>
      <w:r>
        <w:rPr>
          <w:rFonts w:hint="eastAsia" w:ascii="仿宋" w:hAnsi="仿宋" w:eastAsia="仿宋" w:cs="仿宋"/>
          <w:color w:val="333333"/>
          <w:kern w:val="0"/>
          <w:sz w:val="32"/>
          <w:szCs w:val="32"/>
        </w:rPr>
        <w:t>1</w:t>
      </w:r>
      <w:r>
        <w:rPr>
          <w:rFonts w:hint="eastAsia" w:ascii="仿宋" w:hAnsi="仿宋" w:eastAsia="仿宋" w:cs="仿宋"/>
          <w:color w:val="333333"/>
          <w:kern w:val="0"/>
          <w:sz w:val="32"/>
          <w:szCs w:val="32"/>
        </w:rPr>
        <w:t>日起施行。</w:t>
      </w:r>
    </w:p>
    <w:p>
      <w:pPr>
        <w:rPr>
          <w:rFonts w:hint="eastAsia"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Mincho">
    <w:altName w:val="Yu Gothic UI"/>
    <w:panose1 w:val="02020609040205080304"/>
    <w:charset w:val="80"/>
    <w:family w:val="modern"/>
    <w:pitch w:val="default"/>
    <w:sig w:usb0="00000000" w:usb1="00000000" w:usb2="00000010" w:usb3="00000000" w:csb0="0002009F" w:csb1="00000000"/>
  </w:font>
  <w:font w:name="方正小标宋_GBK">
    <w:altName w:val="微软雅黑"/>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Yu Gothic UI">
    <w:panose1 w:val="020B0500000000000000"/>
    <w:charset w:val="80"/>
    <w:family w:val="auto"/>
    <w:pitch w:val="default"/>
    <w:sig w:usb0="E00002FF" w:usb1="2AC7FDFF" w:usb2="00000016" w:usb3="00000000" w:csb0="200200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E0ZmE0NmQ5NmFhNjhlOTdiY2NhNTRhNDQyZTE0ZjAifQ=="/>
  </w:docVars>
  <w:rsids>
    <w:rsidRoot w:val="00EE238A"/>
    <w:rsid w:val="00C6389B"/>
    <w:rsid w:val="00EE238A"/>
    <w:rsid w:val="224F46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semiHidden/>
    <w:uiPriority w:val="99"/>
    <w:rPr>
      <w:sz w:val="18"/>
      <w:szCs w:val="18"/>
    </w:rPr>
  </w:style>
  <w:style w:type="character" w:customStyle="1" w:styleId="9">
    <w:name w:val="页脚 Char"/>
    <w:basedOn w:val="7"/>
    <w:link w:val="3"/>
    <w:semiHidden/>
    <w:uiPriority w:val="99"/>
    <w:rPr>
      <w:sz w:val="18"/>
      <w:szCs w:val="18"/>
    </w:rPr>
  </w:style>
  <w:style w:type="paragraph" w:customStyle="1" w:styleId="10">
    <w:name w:val="18"/>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1">
    <w:name w:val="16"/>
    <w:basedOn w:val="1"/>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8012</Words>
  <Characters>8069</Characters>
  <Lines>58</Lines>
  <Paragraphs>16</Paragraphs>
  <TotalTime>0</TotalTime>
  <ScaleCrop>false</ScaleCrop>
  <LinksUpToDate>false</LinksUpToDate>
  <CharactersWithSpaces>8086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2021-11-26T09:13:00Z</dcterms:created>
  <dc:creator>市大数据发展管理局</dc:creator>
  <cp:lastModifiedBy>luzhibin</cp:lastModifiedBy>
  <dcterms:modified xsi:type="dcterms:W3CDTF">2024-06-19T08:49:46Z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9A73A833C1D24FA0AA984030F45EC0CC_12</vt:lpwstr>
  </property>
</Properties>
</file>